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1E636">
      <w:pPr>
        <w:keepNext w:val="0"/>
        <w:keepLines w:val="0"/>
        <w:pageBreakBefore w:val="0"/>
        <w:widowControl w:val="0"/>
        <w:kinsoku/>
        <w:wordWrap/>
        <w:overflowPunct w:val="0"/>
        <w:topLinePunct w:val="0"/>
        <w:autoSpaceDE/>
        <w:autoSpaceDN/>
        <w:bidi w:val="0"/>
        <w:ind w:right="-168" w:rightChars="-80"/>
        <w:jc w:val="left"/>
        <w:rPr>
          <w:rFonts w:ascii="Times New Roman" w:hAnsi="Times New Roman" w:eastAsia="黑体" w:cs="Times New Roman"/>
          <w:sz w:val="28"/>
          <w:szCs w:val="28"/>
        </w:rPr>
      </w:pPr>
    </w:p>
    <w:p w14:paraId="2013CE10">
      <w:pPr>
        <w:keepNext w:val="0"/>
        <w:keepLines w:val="0"/>
        <w:pageBreakBefore w:val="0"/>
        <w:widowControl w:val="0"/>
        <w:kinsoku/>
        <w:wordWrap/>
        <w:overflowPunct w:val="0"/>
        <w:topLinePunct w:val="0"/>
        <w:autoSpaceDE/>
        <w:autoSpaceDN/>
        <w:bidi w:val="0"/>
        <w:ind w:right="-168" w:rightChars="-80"/>
        <w:jc w:val="left"/>
        <w:rPr>
          <w:rFonts w:ascii="Times New Roman" w:hAnsi="Times New Roman" w:eastAsia="黑体" w:cs="Times New Roman"/>
          <w:sz w:val="28"/>
          <w:szCs w:val="28"/>
        </w:rPr>
      </w:pPr>
    </w:p>
    <w:p w14:paraId="58A36554">
      <w:pPr>
        <w:keepNext w:val="0"/>
        <w:keepLines w:val="0"/>
        <w:pageBreakBefore w:val="0"/>
        <w:widowControl w:val="0"/>
        <w:kinsoku/>
        <w:wordWrap/>
        <w:overflowPunct w:val="0"/>
        <w:topLinePunct w:val="0"/>
        <w:autoSpaceDE/>
        <w:autoSpaceDN/>
        <w:bidi w:val="0"/>
        <w:ind w:right="-168" w:rightChars="-80"/>
        <w:jc w:val="left"/>
        <w:rPr>
          <w:rFonts w:ascii="Times New Roman" w:hAnsi="Times New Roman" w:eastAsia="黑体" w:cs="Times New Roman"/>
          <w:sz w:val="28"/>
          <w:szCs w:val="28"/>
        </w:rPr>
      </w:pPr>
    </w:p>
    <w:p w14:paraId="42540498"/>
    <w:p w14:paraId="0CB3A14B">
      <w:pPr>
        <w:keepNext w:val="0"/>
        <w:keepLines w:val="0"/>
        <w:pageBreakBefore w:val="0"/>
        <w:widowControl w:val="0"/>
        <w:kinsoku/>
        <w:wordWrap/>
        <w:overflowPunct w:val="0"/>
        <w:topLinePunct w:val="0"/>
        <w:autoSpaceDE/>
        <w:autoSpaceDN/>
        <w:bidi w:val="0"/>
        <w:ind w:right="-168" w:rightChars="-80"/>
        <w:jc w:val="left"/>
        <w:rPr>
          <w:rFonts w:ascii="Times New Roman" w:hAnsi="Times New Roman" w:eastAsia="黑体" w:cs="Times New Roman"/>
          <w:sz w:val="28"/>
          <w:szCs w:val="28"/>
        </w:rPr>
      </w:pPr>
    </w:p>
    <w:p w14:paraId="481F0984">
      <w:pPr>
        <w:keepNext w:val="0"/>
        <w:keepLines w:val="0"/>
        <w:pageBreakBefore w:val="0"/>
        <w:widowControl w:val="0"/>
        <w:kinsoku/>
        <w:wordWrap/>
        <w:overflowPunct w:val="0"/>
        <w:topLinePunct w:val="0"/>
        <w:autoSpaceDE/>
        <w:autoSpaceDN/>
        <w:bidi w:val="0"/>
        <w:adjustRightInd/>
        <w:snapToGrid w:val="0"/>
        <w:jc w:val="center"/>
        <w:textAlignment w:val="auto"/>
        <w:outlineLvl w:val="9"/>
        <w:rPr>
          <w:rFonts w:ascii="Times New Roman" w:hAnsi="Times New Roman" w:eastAsia="黑体" w:cs="Times New Roman"/>
          <w:sz w:val="56"/>
        </w:rPr>
      </w:pPr>
      <w:bookmarkStart w:id="0" w:name="_Toc5167"/>
      <w:r>
        <w:rPr>
          <w:rFonts w:ascii="Times New Roman" w:hAnsi="Times New Roman" w:eastAsia="黑体" w:cs="Times New Roman"/>
          <w:sz w:val="56"/>
        </w:rPr>
        <w:t>学位授权点质量建设年度报告</w:t>
      </w:r>
      <w:bookmarkEnd w:id="0"/>
    </w:p>
    <w:p w14:paraId="17A7D7D7">
      <w:pPr>
        <w:keepNext w:val="0"/>
        <w:keepLines w:val="0"/>
        <w:pageBreakBefore w:val="0"/>
        <w:widowControl w:val="0"/>
        <w:kinsoku/>
        <w:wordWrap/>
        <w:overflowPunct w:val="0"/>
        <w:topLinePunct w:val="0"/>
        <w:autoSpaceDE/>
        <w:autoSpaceDN/>
        <w:bidi w:val="0"/>
        <w:jc w:val="left"/>
        <w:rPr>
          <w:rFonts w:ascii="Times New Roman" w:hAnsi="Times New Roman" w:cs="Times New Roman"/>
          <w:sz w:val="24"/>
        </w:rPr>
      </w:pPr>
    </w:p>
    <w:p w14:paraId="587B3954">
      <w:pPr>
        <w:keepNext w:val="0"/>
        <w:keepLines w:val="0"/>
        <w:pageBreakBefore w:val="0"/>
        <w:widowControl w:val="0"/>
        <w:kinsoku/>
        <w:wordWrap/>
        <w:overflowPunct w:val="0"/>
        <w:topLinePunct w:val="0"/>
        <w:autoSpaceDE/>
        <w:autoSpaceDN/>
        <w:bidi w:val="0"/>
        <w:jc w:val="center"/>
        <w:rPr>
          <w:rFonts w:hint="eastAsia" w:ascii="Times New Roman" w:hAnsi="Times New Roman" w:cs="Times New Roman" w:eastAsiaTheme="minorEastAsia"/>
          <w:sz w:val="32"/>
          <w:szCs w:val="32"/>
          <w:lang w:eastAsia="zh-CN"/>
        </w:rPr>
      </w:pP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2024年度</w:t>
      </w:r>
      <w:r>
        <w:rPr>
          <w:rFonts w:hint="eastAsia" w:ascii="Times New Roman" w:hAnsi="Times New Roman" w:cs="Times New Roman"/>
          <w:sz w:val="32"/>
          <w:szCs w:val="32"/>
          <w:lang w:eastAsia="zh-CN"/>
        </w:rPr>
        <w:t>）</w:t>
      </w:r>
    </w:p>
    <w:p w14:paraId="2B7AC44A">
      <w:pPr>
        <w:keepNext w:val="0"/>
        <w:keepLines w:val="0"/>
        <w:pageBreakBefore w:val="0"/>
        <w:widowControl w:val="0"/>
        <w:kinsoku/>
        <w:wordWrap/>
        <w:overflowPunct w:val="0"/>
        <w:topLinePunct w:val="0"/>
        <w:autoSpaceDE/>
        <w:autoSpaceDN/>
        <w:bidi w:val="0"/>
        <w:rPr>
          <w:rFonts w:ascii="Times New Roman" w:hAnsi="Times New Roman" w:cs="Times New Roman"/>
          <w:sz w:val="24"/>
        </w:rPr>
      </w:pPr>
    </w:p>
    <w:p w14:paraId="44ABC132">
      <w:pPr>
        <w:keepNext w:val="0"/>
        <w:keepLines w:val="0"/>
        <w:pageBreakBefore w:val="0"/>
        <w:widowControl w:val="0"/>
        <w:kinsoku/>
        <w:wordWrap/>
        <w:overflowPunct w:val="0"/>
        <w:topLinePunct w:val="0"/>
        <w:autoSpaceDE/>
        <w:autoSpaceDN/>
        <w:bidi w:val="0"/>
        <w:rPr>
          <w:rFonts w:ascii="Times New Roman" w:hAnsi="Times New Roman" w:cs="Times New Roman"/>
          <w:sz w:val="24"/>
        </w:rPr>
      </w:pPr>
    </w:p>
    <w:p w14:paraId="6932C723">
      <w:pPr>
        <w:keepNext w:val="0"/>
        <w:keepLines w:val="0"/>
        <w:pageBreakBefore w:val="0"/>
        <w:widowControl w:val="0"/>
        <w:kinsoku/>
        <w:wordWrap/>
        <w:overflowPunct w:val="0"/>
        <w:topLinePunct w:val="0"/>
        <w:autoSpaceDE/>
        <w:autoSpaceDN/>
        <w:bidi w:val="0"/>
        <w:rPr>
          <w:rFonts w:ascii="Times New Roman" w:hAnsi="Times New Roman" w:cs="Times New Roman"/>
          <w:sz w:val="24"/>
        </w:rPr>
      </w:pPr>
    </w:p>
    <w:p w14:paraId="0527F17F">
      <w:pPr>
        <w:keepNext w:val="0"/>
        <w:keepLines w:val="0"/>
        <w:pageBreakBefore w:val="0"/>
        <w:widowControl w:val="0"/>
        <w:kinsoku/>
        <w:wordWrap/>
        <w:overflowPunct w:val="0"/>
        <w:topLinePunct w:val="0"/>
        <w:autoSpaceDE/>
        <w:autoSpaceDN/>
        <w:bidi w:val="0"/>
        <w:rPr>
          <w:rFonts w:ascii="Times New Roman" w:hAnsi="Times New Roman" w:cs="Times New Roman"/>
          <w:sz w:val="24"/>
        </w:rPr>
      </w:pPr>
    </w:p>
    <w:p w14:paraId="66D76C59">
      <w:pPr>
        <w:keepNext w:val="0"/>
        <w:keepLines w:val="0"/>
        <w:pageBreakBefore w:val="0"/>
        <w:widowControl w:val="0"/>
        <w:kinsoku/>
        <w:wordWrap/>
        <w:overflowPunct w:val="0"/>
        <w:topLinePunct w:val="0"/>
        <w:autoSpaceDE/>
        <w:autoSpaceDN/>
        <w:bidi w:val="0"/>
        <w:rPr>
          <w:rFonts w:ascii="Times New Roman" w:hAnsi="Times New Roman" w:cs="Times New Roman"/>
          <w:sz w:val="24"/>
        </w:rPr>
      </w:pPr>
    </w:p>
    <w:tbl>
      <w:tblPr>
        <w:tblStyle w:val="11"/>
        <w:tblW w:w="6516" w:type="dxa"/>
        <w:jc w:val="center"/>
        <w:tblLayout w:type="fixed"/>
        <w:tblCellMar>
          <w:top w:w="0" w:type="dxa"/>
          <w:left w:w="28" w:type="dxa"/>
          <w:bottom w:w="0" w:type="dxa"/>
          <w:right w:w="28" w:type="dxa"/>
        </w:tblCellMar>
      </w:tblPr>
      <w:tblGrid>
        <w:gridCol w:w="2115"/>
        <w:gridCol w:w="4401"/>
      </w:tblGrid>
      <w:tr w14:paraId="62A6E56E">
        <w:trPr>
          <w:jc w:val="center"/>
        </w:trPr>
        <w:tc>
          <w:tcPr>
            <w:tcW w:w="2115" w:type="dxa"/>
            <w:vMerge w:val="restart"/>
            <w:tcBorders>
              <w:right w:val="single" w:color="auto" w:sz="4" w:space="0"/>
            </w:tcBorders>
            <w:vAlign w:val="center"/>
          </w:tcPr>
          <w:p w14:paraId="74C4BB73">
            <w:pPr>
              <w:keepNext w:val="0"/>
              <w:keepLines w:val="0"/>
              <w:pageBreakBefore w:val="0"/>
              <w:widowControl w:val="0"/>
              <w:kinsoku/>
              <w:wordWrap/>
              <w:overflowPunct w:val="0"/>
              <w:topLinePunct w:val="0"/>
              <w:autoSpaceDE/>
              <w:autoSpaceDN/>
              <w:bidi w:val="0"/>
              <w:spacing w:line="400" w:lineRule="exact"/>
              <w:rPr>
                <w:rFonts w:ascii="Times New Roman" w:hAnsi="Times New Roman" w:eastAsia="仿宋_GB2312" w:cs="Times New Roman"/>
                <w:b/>
                <w:sz w:val="28"/>
              </w:rPr>
            </w:pPr>
            <w:r>
              <w:rPr>
                <w:rFonts w:ascii="Times New Roman" w:hAnsi="Times New Roman" w:eastAsia="仿宋_GB2312" w:cs="Times New Roman"/>
                <w:b/>
                <w:sz w:val="28"/>
              </w:rPr>
              <w:t>学位授予单位</w:t>
            </w:r>
          </w:p>
        </w:tc>
        <w:tc>
          <w:tcPr>
            <w:tcW w:w="4401" w:type="dxa"/>
            <w:tcBorders>
              <w:left w:val="single" w:color="auto" w:sz="4" w:space="0"/>
            </w:tcBorders>
          </w:tcPr>
          <w:p w14:paraId="6FBB6CD6">
            <w:pPr>
              <w:keepNext w:val="0"/>
              <w:keepLines w:val="0"/>
              <w:pageBreakBefore w:val="0"/>
              <w:widowControl w:val="0"/>
              <w:kinsoku/>
              <w:wordWrap/>
              <w:overflowPunct w:val="0"/>
              <w:topLinePunct w:val="0"/>
              <w:autoSpaceDE/>
              <w:autoSpaceDN/>
              <w:bidi w:val="0"/>
              <w:rPr>
                <w:rFonts w:ascii="Times New Roman" w:hAnsi="Times New Roman" w:eastAsia="仿宋_GB2312" w:cs="Times New Roman"/>
                <w:b/>
                <w:sz w:val="28"/>
              </w:rPr>
            </w:pPr>
            <w:r>
              <w:rPr>
                <w:rFonts w:ascii="Times New Roman" w:hAnsi="Times New Roman" w:eastAsia="仿宋_GB2312" w:cs="Times New Roman"/>
                <w:b/>
                <w:sz w:val="28"/>
              </w:rPr>
              <w:t>名称:中南林业科技大学</w:t>
            </w:r>
          </w:p>
        </w:tc>
      </w:tr>
      <w:tr w14:paraId="6094A2BC">
        <w:tblPrEx>
          <w:tblCellMar>
            <w:top w:w="0" w:type="dxa"/>
            <w:left w:w="28" w:type="dxa"/>
            <w:bottom w:w="0" w:type="dxa"/>
            <w:right w:w="28" w:type="dxa"/>
          </w:tblCellMar>
        </w:tblPrEx>
        <w:trPr>
          <w:jc w:val="center"/>
        </w:trPr>
        <w:tc>
          <w:tcPr>
            <w:tcW w:w="2115" w:type="dxa"/>
            <w:vMerge w:val="continue"/>
            <w:tcBorders>
              <w:right w:val="single" w:color="auto" w:sz="4" w:space="0"/>
            </w:tcBorders>
          </w:tcPr>
          <w:p w14:paraId="2DFA158B">
            <w:pPr>
              <w:keepNext w:val="0"/>
              <w:keepLines w:val="0"/>
              <w:pageBreakBefore w:val="0"/>
              <w:widowControl w:val="0"/>
              <w:kinsoku/>
              <w:wordWrap/>
              <w:overflowPunct w:val="0"/>
              <w:topLinePunct w:val="0"/>
              <w:autoSpaceDE/>
              <w:autoSpaceDN/>
              <w:bidi w:val="0"/>
              <w:ind w:right="419"/>
              <w:rPr>
                <w:rFonts w:ascii="Times New Roman" w:hAnsi="Times New Roman" w:eastAsia="仿宋_GB2312" w:cs="Times New Roman"/>
                <w:b/>
                <w:sz w:val="28"/>
              </w:rPr>
            </w:pPr>
          </w:p>
        </w:tc>
        <w:tc>
          <w:tcPr>
            <w:tcW w:w="4401" w:type="dxa"/>
            <w:tcBorders>
              <w:left w:val="single" w:color="auto" w:sz="4" w:space="0"/>
            </w:tcBorders>
          </w:tcPr>
          <w:p w14:paraId="6D156F6C">
            <w:pPr>
              <w:keepNext w:val="0"/>
              <w:keepLines w:val="0"/>
              <w:pageBreakBefore w:val="0"/>
              <w:widowControl w:val="0"/>
              <w:kinsoku/>
              <w:wordWrap/>
              <w:overflowPunct w:val="0"/>
              <w:topLinePunct w:val="0"/>
              <w:autoSpaceDE/>
              <w:autoSpaceDN/>
              <w:bidi w:val="0"/>
              <w:rPr>
                <w:rFonts w:ascii="Times New Roman" w:hAnsi="Times New Roman" w:eastAsia="仿宋_GB2312" w:cs="Times New Roman"/>
                <w:b/>
                <w:sz w:val="28"/>
              </w:rPr>
            </w:pP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p>
        </w:tc>
      </w:tr>
      <w:tr w14:paraId="11DFD455">
        <w:tblPrEx>
          <w:tblCellMar>
            <w:top w:w="0" w:type="dxa"/>
            <w:left w:w="28" w:type="dxa"/>
            <w:bottom w:w="0" w:type="dxa"/>
            <w:right w:w="28" w:type="dxa"/>
          </w:tblCellMar>
        </w:tblPrEx>
        <w:trPr>
          <w:jc w:val="center"/>
        </w:trPr>
        <w:tc>
          <w:tcPr>
            <w:tcW w:w="2115" w:type="dxa"/>
            <w:vMerge w:val="continue"/>
            <w:tcBorders>
              <w:right w:val="single" w:color="auto" w:sz="4" w:space="0"/>
            </w:tcBorders>
          </w:tcPr>
          <w:p w14:paraId="243077F5">
            <w:pPr>
              <w:keepNext w:val="0"/>
              <w:keepLines w:val="0"/>
              <w:pageBreakBefore w:val="0"/>
              <w:widowControl w:val="0"/>
              <w:kinsoku/>
              <w:wordWrap/>
              <w:overflowPunct w:val="0"/>
              <w:topLinePunct w:val="0"/>
              <w:autoSpaceDE/>
              <w:autoSpaceDN/>
              <w:bidi w:val="0"/>
              <w:ind w:right="419"/>
              <w:rPr>
                <w:rFonts w:ascii="Times New Roman" w:hAnsi="Times New Roman" w:eastAsia="仿宋_GB2312" w:cs="Times New Roman"/>
                <w:b/>
                <w:sz w:val="28"/>
              </w:rPr>
            </w:pPr>
          </w:p>
        </w:tc>
        <w:tc>
          <w:tcPr>
            <w:tcW w:w="4401" w:type="dxa"/>
            <w:tcBorders>
              <w:left w:val="single" w:color="auto" w:sz="4" w:space="0"/>
            </w:tcBorders>
          </w:tcPr>
          <w:p w14:paraId="71C633F8">
            <w:pPr>
              <w:keepNext w:val="0"/>
              <w:keepLines w:val="0"/>
              <w:pageBreakBefore w:val="0"/>
              <w:widowControl w:val="0"/>
              <w:kinsoku/>
              <w:wordWrap/>
              <w:overflowPunct w:val="0"/>
              <w:topLinePunct w:val="0"/>
              <w:autoSpaceDE/>
              <w:autoSpaceDN/>
              <w:bidi w:val="0"/>
              <w:rPr>
                <w:rFonts w:ascii="Times New Roman" w:hAnsi="Times New Roman" w:eastAsia="仿宋_GB2312" w:cs="Times New Roman"/>
                <w:b/>
                <w:sz w:val="28"/>
              </w:rPr>
            </w:pPr>
            <w:r>
              <w:rPr>
                <w:rFonts w:ascii="Times New Roman" w:hAnsi="Times New Roman" w:eastAsia="仿宋_GB2312" w:cs="Times New Roman"/>
                <w:b/>
                <w:sz w:val="28"/>
              </w:rPr>
              <w:t>代码:10538</w:t>
            </w:r>
          </w:p>
        </w:tc>
      </w:tr>
    </w:tbl>
    <w:p w14:paraId="4FA51990">
      <w:pPr>
        <w:keepNext w:val="0"/>
        <w:keepLines w:val="0"/>
        <w:pageBreakBefore w:val="0"/>
        <w:widowControl w:val="0"/>
        <w:kinsoku/>
        <w:wordWrap/>
        <w:overflowPunct w:val="0"/>
        <w:topLinePunct w:val="0"/>
        <w:autoSpaceDE/>
        <w:autoSpaceDN/>
        <w:bidi w:val="0"/>
        <w:rPr>
          <w:rFonts w:ascii="Times New Roman" w:hAnsi="Times New Roman" w:eastAsia="仿宋_GB2312" w:cs="Times New Roman"/>
          <w:b/>
          <w:sz w:val="28"/>
        </w:rPr>
      </w:pPr>
    </w:p>
    <w:p w14:paraId="1B9383D3">
      <w:pPr>
        <w:keepNext w:val="0"/>
        <w:keepLines w:val="0"/>
        <w:pageBreakBefore w:val="0"/>
        <w:widowControl w:val="0"/>
        <w:kinsoku/>
        <w:wordWrap/>
        <w:overflowPunct w:val="0"/>
        <w:topLinePunct w:val="0"/>
        <w:autoSpaceDE/>
        <w:autoSpaceDN/>
        <w:bidi w:val="0"/>
        <w:rPr>
          <w:rFonts w:ascii="Times New Roman" w:hAnsi="Times New Roman" w:eastAsia="仿宋_GB2312" w:cs="Times New Roman"/>
          <w:b/>
          <w:sz w:val="28"/>
        </w:rPr>
      </w:pPr>
    </w:p>
    <w:p w14:paraId="7A932761">
      <w:pPr>
        <w:keepNext w:val="0"/>
        <w:keepLines w:val="0"/>
        <w:pageBreakBefore w:val="0"/>
        <w:widowControl w:val="0"/>
        <w:kinsoku/>
        <w:wordWrap/>
        <w:overflowPunct w:val="0"/>
        <w:topLinePunct w:val="0"/>
        <w:autoSpaceDE/>
        <w:autoSpaceDN/>
        <w:bidi w:val="0"/>
        <w:rPr>
          <w:rFonts w:ascii="Times New Roman" w:hAnsi="Times New Roman" w:eastAsia="仿宋_GB2312" w:cs="Times New Roman"/>
          <w:b/>
          <w:sz w:val="28"/>
        </w:rPr>
      </w:pPr>
    </w:p>
    <w:p w14:paraId="251054B8">
      <w:pPr>
        <w:keepNext w:val="0"/>
        <w:keepLines w:val="0"/>
        <w:pageBreakBefore w:val="0"/>
        <w:widowControl w:val="0"/>
        <w:kinsoku/>
        <w:wordWrap/>
        <w:overflowPunct w:val="0"/>
        <w:topLinePunct w:val="0"/>
        <w:autoSpaceDE/>
        <w:autoSpaceDN/>
        <w:bidi w:val="0"/>
        <w:rPr>
          <w:rFonts w:ascii="Times New Roman" w:hAnsi="Times New Roman" w:eastAsia="仿宋_GB2312" w:cs="Times New Roman"/>
          <w:sz w:val="24"/>
          <w:u w:val="thick"/>
        </w:rPr>
      </w:pPr>
    </w:p>
    <w:tbl>
      <w:tblPr>
        <w:tblStyle w:val="11"/>
        <w:tblW w:w="6516" w:type="dxa"/>
        <w:jc w:val="center"/>
        <w:tblLayout w:type="fixed"/>
        <w:tblCellMar>
          <w:top w:w="0" w:type="dxa"/>
          <w:left w:w="28" w:type="dxa"/>
          <w:bottom w:w="0" w:type="dxa"/>
          <w:right w:w="28" w:type="dxa"/>
        </w:tblCellMar>
      </w:tblPr>
      <w:tblGrid>
        <w:gridCol w:w="2122"/>
        <w:gridCol w:w="4394"/>
      </w:tblGrid>
      <w:tr w14:paraId="195B6A8F">
        <w:tblPrEx>
          <w:tblCellMar>
            <w:top w:w="0" w:type="dxa"/>
            <w:left w:w="28" w:type="dxa"/>
            <w:bottom w:w="0" w:type="dxa"/>
            <w:right w:w="28" w:type="dxa"/>
          </w:tblCellMar>
        </w:tblPrEx>
        <w:trPr>
          <w:jc w:val="center"/>
        </w:trPr>
        <w:tc>
          <w:tcPr>
            <w:tcW w:w="2122" w:type="dxa"/>
            <w:vMerge w:val="restart"/>
            <w:tcBorders>
              <w:right w:val="single" w:color="auto" w:sz="4" w:space="0"/>
            </w:tcBorders>
            <w:vAlign w:val="center"/>
          </w:tcPr>
          <w:p w14:paraId="4EE262E4">
            <w:pPr>
              <w:keepNext w:val="0"/>
              <w:keepLines w:val="0"/>
              <w:pageBreakBefore w:val="0"/>
              <w:widowControl w:val="0"/>
              <w:kinsoku/>
              <w:wordWrap/>
              <w:overflowPunct w:val="0"/>
              <w:topLinePunct w:val="0"/>
              <w:autoSpaceDE/>
              <w:autoSpaceDN/>
              <w:bidi w:val="0"/>
              <w:spacing w:line="400" w:lineRule="exact"/>
              <w:ind w:right="252" w:rightChars="120" w:firstLine="138" w:firstLineChars="49"/>
              <w:rPr>
                <w:rFonts w:ascii="Times New Roman" w:hAnsi="Times New Roman" w:eastAsia="仿宋_GB2312" w:cs="Times New Roman"/>
                <w:b/>
                <w:sz w:val="28"/>
              </w:rPr>
            </w:pPr>
            <w:r>
              <w:rPr>
                <w:rFonts w:ascii="Times New Roman" w:hAnsi="Times New Roman" w:eastAsia="仿宋_GB2312" w:cs="Times New Roman"/>
                <w:b/>
                <w:sz w:val="28"/>
              </w:rPr>
              <w:t>学位授权点</w:t>
            </w:r>
          </w:p>
        </w:tc>
        <w:tc>
          <w:tcPr>
            <w:tcW w:w="4394" w:type="dxa"/>
            <w:tcBorders>
              <w:left w:val="single" w:color="auto" w:sz="4" w:space="0"/>
            </w:tcBorders>
          </w:tcPr>
          <w:p w14:paraId="7FA27992">
            <w:pPr>
              <w:keepNext w:val="0"/>
              <w:keepLines w:val="0"/>
              <w:pageBreakBefore w:val="0"/>
              <w:widowControl w:val="0"/>
              <w:kinsoku/>
              <w:wordWrap/>
              <w:overflowPunct w:val="0"/>
              <w:topLinePunct w:val="0"/>
              <w:autoSpaceDE/>
              <w:autoSpaceDN/>
              <w:bidi w:val="0"/>
              <w:rPr>
                <w:rFonts w:ascii="Times New Roman" w:hAnsi="Times New Roman" w:eastAsia="仿宋_GB2312" w:cs="Times New Roman"/>
                <w:b/>
                <w:sz w:val="28"/>
              </w:rPr>
            </w:pPr>
            <w:r>
              <w:rPr>
                <w:rFonts w:ascii="Times New Roman" w:hAnsi="Times New Roman" w:eastAsia="仿宋_GB2312" w:cs="Times New Roman"/>
                <w:b/>
                <w:sz w:val="28"/>
              </w:rPr>
              <w:t>名称: 风景园林</w:t>
            </w:r>
          </w:p>
        </w:tc>
      </w:tr>
      <w:tr w14:paraId="3EDC300E">
        <w:tblPrEx>
          <w:tblCellMar>
            <w:top w:w="0" w:type="dxa"/>
            <w:left w:w="28" w:type="dxa"/>
            <w:bottom w:w="0" w:type="dxa"/>
            <w:right w:w="28" w:type="dxa"/>
          </w:tblCellMar>
        </w:tblPrEx>
        <w:trPr>
          <w:jc w:val="center"/>
        </w:trPr>
        <w:tc>
          <w:tcPr>
            <w:tcW w:w="2122" w:type="dxa"/>
            <w:vMerge w:val="continue"/>
            <w:tcBorders>
              <w:right w:val="single" w:color="auto" w:sz="4" w:space="0"/>
            </w:tcBorders>
          </w:tcPr>
          <w:p w14:paraId="15F17C4D">
            <w:pPr>
              <w:keepNext w:val="0"/>
              <w:keepLines w:val="0"/>
              <w:pageBreakBefore w:val="0"/>
              <w:widowControl w:val="0"/>
              <w:kinsoku/>
              <w:wordWrap/>
              <w:overflowPunct w:val="0"/>
              <w:topLinePunct w:val="0"/>
              <w:autoSpaceDE/>
              <w:autoSpaceDN/>
              <w:bidi w:val="0"/>
              <w:ind w:right="419"/>
              <w:rPr>
                <w:rFonts w:ascii="Times New Roman" w:hAnsi="Times New Roman" w:eastAsia="仿宋_GB2312" w:cs="Times New Roman"/>
                <w:b/>
                <w:sz w:val="28"/>
              </w:rPr>
            </w:pPr>
          </w:p>
        </w:tc>
        <w:tc>
          <w:tcPr>
            <w:tcW w:w="4394" w:type="dxa"/>
            <w:tcBorders>
              <w:left w:val="single" w:color="auto" w:sz="4" w:space="0"/>
            </w:tcBorders>
          </w:tcPr>
          <w:p w14:paraId="466EABA6">
            <w:pPr>
              <w:keepNext w:val="0"/>
              <w:keepLines w:val="0"/>
              <w:pageBreakBefore w:val="0"/>
              <w:widowControl w:val="0"/>
              <w:kinsoku/>
              <w:wordWrap/>
              <w:overflowPunct w:val="0"/>
              <w:topLinePunct w:val="0"/>
              <w:autoSpaceDE/>
              <w:autoSpaceDN/>
              <w:bidi w:val="0"/>
              <w:rPr>
                <w:rFonts w:ascii="Times New Roman" w:hAnsi="Times New Roman" w:eastAsia="仿宋_GB2312" w:cs="Times New Roman"/>
                <w:b/>
                <w:sz w:val="28"/>
              </w:rPr>
            </w:pP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p>
        </w:tc>
      </w:tr>
      <w:tr w14:paraId="32978002">
        <w:tblPrEx>
          <w:tblCellMar>
            <w:top w:w="0" w:type="dxa"/>
            <w:left w:w="28" w:type="dxa"/>
            <w:bottom w:w="0" w:type="dxa"/>
            <w:right w:w="28" w:type="dxa"/>
          </w:tblCellMar>
        </w:tblPrEx>
        <w:trPr>
          <w:jc w:val="center"/>
        </w:trPr>
        <w:tc>
          <w:tcPr>
            <w:tcW w:w="2122" w:type="dxa"/>
            <w:vMerge w:val="continue"/>
            <w:tcBorders>
              <w:right w:val="single" w:color="auto" w:sz="4" w:space="0"/>
            </w:tcBorders>
          </w:tcPr>
          <w:p w14:paraId="26DAB7E6">
            <w:pPr>
              <w:keepNext w:val="0"/>
              <w:keepLines w:val="0"/>
              <w:pageBreakBefore w:val="0"/>
              <w:widowControl w:val="0"/>
              <w:kinsoku/>
              <w:wordWrap/>
              <w:overflowPunct w:val="0"/>
              <w:topLinePunct w:val="0"/>
              <w:autoSpaceDE/>
              <w:autoSpaceDN/>
              <w:bidi w:val="0"/>
              <w:ind w:right="419"/>
              <w:rPr>
                <w:rFonts w:ascii="Times New Roman" w:hAnsi="Times New Roman" w:eastAsia="仿宋_GB2312" w:cs="Times New Roman"/>
                <w:b/>
                <w:sz w:val="28"/>
              </w:rPr>
            </w:pPr>
          </w:p>
        </w:tc>
        <w:tc>
          <w:tcPr>
            <w:tcW w:w="4394" w:type="dxa"/>
            <w:tcBorders>
              <w:left w:val="single" w:color="auto" w:sz="4" w:space="0"/>
            </w:tcBorders>
          </w:tcPr>
          <w:p w14:paraId="4524E33F">
            <w:pPr>
              <w:keepNext w:val="0"/>
              <w:keepLines w:val="0"/>
              <w:pageBreakBefore w:val="0"/>
              <w:widowControl w:val="0"/>
              <w:kinsoku/>
              <w:wordWrap/>
              <w:overflowPunct w:val="0"/>
              <w:topLinePunct w:val="0"/>
              <w:autoSpaceDE/>
              <w:autoSpaceDN/>
              <w:bidi w:val="0"/>
              <w:rPr>
                <w:rFonts w:ascii="Times New Roman" w:hAnsi="Times New Roman" w:eastAsia="仿宋_GB2312" w:cs="Times New Roman"/>
                <w:b/>
                <w:sz w:val="28"/>
              </w:rPr>
            </w:pPr>
            <w:r>
              <w:rPr>
                <w:rFonts w:ascii="Times New Roman" w:hAnsi="Times New Roman" w:eastAsia="仿宋_GB2312" w:cs="Times New Roman"/>
                <w:b/>
                <w:sz w:val="28"/>
              </w:rPr>
              <w:t>代码: 0862</w:t>
            </w:r>
          </w:p>
        </w:tc>
      </w:tr>
    </w:tbl>
    <w:p w14:paraId="517DF362">
      <w:pPr>
        <w:keepNext w:val="0"/>
        <w:keepLines w:val="0"/>
        <w:pageBreakBefore w:val="0"/>
        <w:widowControl w:val="0"/>
        <w:kinsoku/>
        <w:wordWrap/>
        <w:overflowPunct w:val="0"/>
        <w:topLinePunct w:val="0"/>
        <w:autoSpaceDE/>
        <w:autoSpaceDN/>
        <w:bidi w:val="0"/>
        <w:jc w:val="left"/>
        <w:rPr>
          <w:rFonts w:ascii="Times New Roman" w:hAnsi="Times New Roman" w:cs="Times New Roman"/>
          <w:sz w:val="20"/>
        </w:rPr>
      </w:pPr>
    </w:p>
    <w:p w14:paraId="6D29BDF7">
      <w:pPr>
        <w:keepNext w:val="0"/>
        <w:keepLines w:val="0"/>
        <w:pageBreakBefore w:val="0"/>
        <w:widowControl w:val="0"/>
        <w:kinsoku/>
        <w:wordWrap/>
        <w:overflowPunct w:val="0"/>
        <w:topLinePunct w:val="0"/>
        <w:autoSpaceDE/>
        <w:autoSpaceDN/>
        <w:bidi w:val="0"/>
        <w:jc w:val="left"/>
        <w:rPr>
          <w:rFonts w:ascii="Times New Roman" w:hAnsi="Times New Roman" w:eastAsia="楷体_GB2312" w:cs="Times New Roman"/>
          <w:sz w:val="32"/>
        </w:rPr>
      </w:pPr>
    </w:p>
    <w:p w14:paraId="44FE54B0">
      <w:pPr>
        <w:keepNext w:val="0"/>
        <w:keepLines w:val="0"/>
        <w:pageBreakBefore w:val="0"/>
        <w:widowControl w:val="0"/>
        <w:kinsoku/>
        <w:wordWrap/>
        <w:overflowPunct w:val="0"/>
        <w:topLinePunct w:val="0"/>
        <w:autoSpaceDE/>
        <w:autoSpaceDN/>
        <w:bidi w:val="0"/>
        <w:jc w:val="left"/>
        <w:rPr>
          <w:rFonts w:ascii="Times New Roman" w:hAnsi="Times New Roman" w:eastAsia="楷体_GB2312" w:cs="Times New Roman"/>
          <w:sz w:val="32"/>
        </w:rPr>
      </w:pPr>
    </w:p>
    <w:p w14:paraId="237E6EB7">
      <w:pPr>
        <w:keepNext w:val="0"/>
        <w:keepLines w:val="0"/>
        <w:pageBreakBefore w:val="0"/>
        <w:widowControl w:val="0"/>
        <w:kinsoku/>
        <w:wordWrap/>
        <w:overflowPunct w:val="0"/>
        <w:topLinePunct w:val="0"/>
        <w:autoSpaceDE/>
        <w:autoSpaceDN/>
        <w:bidi w:val="0"/>
        <w:jc w:val="left"/>
        <w:rPr>
          <w:rFonts w:ascii="Times New Roman" w:hAnsi="Times New Roman" w:eastAsia="楷体_GB2312" w:cs="Times New Roman"/>
          <w:sz w:val="32"/>
        </w:rPr>
      </w:pPr>
    </w:p>
    <w:p w14:paraId="12148E9C">
      <w:pPr>
        <w:keepNext w:val="0"/>
        <w:keepLines w:val="0"/>
        <w:pageBreakBefore w:val="0"/>
        <w:widowControl w:val="0"/>
        <w:kinsoku/>
        <w:wordWrap/>
        <w:overflowPunct w:val="0"/>
        <w:topLinePunct w:val="0"/>
        <w:autoSpaceDE/>
        <w:autoSpaceDN/>
        <w:bidi w:val="0"/>
        <w:jc w:val="left"/>
        <w:rPr>
          <w:rFonts w:ascii="Times New Roman" w:hAnsi="Times New Roman" w:eastAsia="楷体_GB2312" w:cs="Times New Roman"/>
          <w:sz w:val="32"/>
        </w:rPr>
      </w:pPr>
    </w:p>
    <w:p w14:paraId="0AA7A4E6">
      <w:pPr>
        <w:keepNext w:val="0"/>
        <w:keepLines w:val="0"/>
        <w:pageBreakBefore w:val="0"/>
        <w:widowControl w:val="0"/>
        <w:kinsoku/>
        <w:wordWrap/>
        <w:overflowPunct w:val="0"/>
        <w:topLinePunct w:val="0"/>
        <w:autoSpaceDE/>
        <w:autoSpaceDN/>
        <w:bidi w:val="0"/>
        <w:ind w:firstLine="2400" w:firstLineChars="750"/>
        <w:jc w:val="left"/>
        <w:rPr>
          <w:rFonts w:ascii="Times New Roman" w:hAnsi="Times New Roman" w:eastAsia="黑体" w:cs="Times New Roman"/>
          <w:sz w:val="36"/>
          <w:szCs w:val="36"/>
        </w:rPr>
      </w:pPr>
      <w:r>
        <w:rPr>
          <w:rFonts w:ascii="Times New Roman" w:hAnsi="Times New Roman" w:eastAsia="楷体_GB2312" w:cs="Times New Roman"/>
          <w:sz w:val="32"/>
        </w:rPr>
        <w:t>2025 年 1 月 19 日填表</w:t>
      </w:r>
    </w:p>
    <w:p w14:paraId="3289713D">
      <w:pPr>
        <w:keepNext w:val="0"/>
        <w:keepLines w:val="0"/>
        <w:pageBreakBefore w:val="0"/>
        <w:widowControl w:val="0"/>
        <w:kinsoku/>
        <w:wordWrap/>
        <w:overflowPunct w:val="0"/>
        <w:topLinePunct w:val="0"/>
        <w:autoSpaceDE/>
        <w:autoSpaceDN/>
        <w:bidi w:val="0"/>
        <w:snapToGrid w:val="0"/>
        <w:rPr>
          <w:rFonts w:ascii="Times New Roman" w:hAnsi="Times New Roman" w:eastAsia="黑体" w:cs="Times New Roman"/>
          <w:color w:val="FF0000"/>
          <w:sz w:val="36"/>
          <w:szCs w:val="36"/>
        </w:rPr>
      </w:pPr>
    </w:p>
    <w:p w14:paraId="68243F4A">
      <w:pPr>
        <w:keepNext w:val="0"/>
        <w:keepLines w:val="0"/>
        <w:pageBreakBefore w:val="0"/>
        <w:widowControl w:val="0"/>
        <w:kinsoku/>
        <w:wordWrap/>
        <w:overflowPunct w:val="0"/>
        <w:topLinePunct w:val="0"/>
        <w:autoSpaceDE/>
        <w:autoSpaceDN/>
        <w:bidi w:val="0"/>
        <w:snapToGrid w:val="0"/>
        <w:ind w:left="-210" w:leftChars="-100" w:right="-210" w:rightChars="-100"/>
        <w:jc w:val="center"/>
        <w:outlineLvl w:val="9"/>
        <w:rPr>
          <w:rFonts w:ascii="Times New Roman" w:hAnsi="Times New Roman" w:eastAsia="黑体" w:cs="Times New Roman"/>
          <w:sz w:val="36"/>
          <w:szCs w:val="36"/>
        </w:rPr>
        <w:sectPr>
          <w:pgSz w:w="11906" w:h="16838"/>
          <w:pgMar w:top="1440" w:right="1684" w:bottom="1440" w:left="1797" w:header="851" w:footer="992" w:gutter="0"/>
          <w:cols w:space="0" w:num="1"/>
          <w:rtlGutter w:val="0"/>
          <w:docGrid w:type="lines" w:linePitch="436" w:charSpace="0"/>
        </w:sectPr>
      </w:pPr>
    </w:p>
    <w:sdt>
      <w:sdtPr>
        <w:rPr>
          <w:lang w:val="en-US" w:eastAsia="zh-CN"/>
        </w:rPr>
        <w:id w:val="147456118"/>
        <w15:color w:val="DBDBDB"/>
        <w:docPartObj>
          <w:docPartGallery w:val="Table of Contents"/>
          <w:docPartUnique/>
        </w:docPartObj>
      </w:sdtPr>
      <w:sdtEndPr>
        <w:rPr>
          <w:rFonts w:ascii="Times New Roman" w:hAnsi="Times New Roman" w:eastAsia="黑体" w:cs="Times New Roman"/>
          <w:b/>
          <w:kern w:val="2"/>
          <w:sz w:val="21"/>
          <w:szCs w:val="36"/>
          <w:lang w:val="en-US" w:eastAsia="zh-CN" w:bidi="ar-SA"/>
        </w:rPr>
      </w:sdtEndPr>
      <w:sdtContent>
        <w:p w14:paraId="5A1E647D">
          <w:pPr>
            <w:rPr>
              <w:lang w:val="en-US" w:eastAsia="zh-CN"/>
            </w:rPr>
          </w:pPr>
        </w:p>
        <w:p w14:paraId="2DD5DBAA">
          <w:pPr>
            <w:keepNext w:val="0"/>
            <w:keepLines w:val="0"/>
            <w:pageBreakBefore w:val="0"/>
            <w:widowControl w:val="0"/>
            <w:kinsoku/>
            <w:wordWrap/>
            <w:overflowPunct w:val="0"/>
            <w:topLinePunct w:val="0"/>
            <w:autoSpaceDE/>
            <w:autoSpaceDN/>
            <w:bidi w:val="0"/>
            <w:adjustRightInd/>
            <w:spacing w:before="0" w:beforeLines="0" w:after="0" w:afterLines="0" w:line="360" w:lineRule="auto"/>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14:paraId="363BD306">
          <w:pPr>
            <w:keepNext w:val="0"/>
            <w:keepLines w:val="0"/>
            <w:pageBreakBefore w:val="0"/>
            <w:widowControl w:val="0"/>
            <w:kinsoku/>
            <w:wordWrap/>
            <w:overflowPunct w:val="0"/>
            <w:topLinePunct w:val="0"/>
            <w:autoSpaceDE/>
            <w:autoSpaceDN/>
            <w:bidi w:val="0"/>
            <w:adjustRightInd/>
            <w:spacing w:before="0" w:beforeLines="0" w:after="0" w:afterLines="0" w:line="360" w:lineRule="auto"/>
            <w:ind w:left="0" w:leftChars="0" w:right="0" w:rightChars="0" w:firstLine="0" w:firstLineChars="0"/>
            <w:jc w:val="center"/>
            <w:textAlignment w:val="auto"/>
            <w:rPr>
              <w:b/>
            </w:rPr>
          </w:pPr>
          <w:r>
            <w:rPr>
              <w:rFonts w:ascii="Times New Roman" w:hAnsi="Times New Roman" w:eastAsia="黑体" w:cs="Times New Roman"/>
              <w:sz w:val="36"/>
              <w:szCs w:val="36"/>
            </w:rPr>
            <w:fldChar w:fldCharType="begin"/>
          </w:r>
          <w:r>
            <w:rPr>
              <w:rFonts w:ascii="Times New Roman" w:hAnsi="Times New Roman" w:eastAsia="黑体" w:cs="Times New Roman"/>
              <w:sz w:val="36"/>
              <w:szCs w:val="36"/>
            </w:rPr>
            <w:instrText xml:space="preserve">TOC \o "1-2" \h \u </w:instrText>
          </w:r>
          <w:r>
            <w:rPr>
              <w:rFonts w:ascii="Times New Roman" w:hAnsi="Times New Roman" w:eastAsia="黑体" w:cs="Times New Roman"/>
              <w:sz w:val="36"/>
              <w:szCs w:val="36"/>
            </w:rPr>
            <w:fldChar w:fldCharType="separate"/>
          </w:r>
        </w:p>
        <w:p w14:paraId="5C3C13B6">
          <w:pPr>
            <w:pStyle w:val="28"/>
            <w:keepNext w:val="0"/>
            <w:keepLines w:val="0"/>
            <w:pageBreakBefore w:val="0"/>
            <w:widowControl w:val="0"/>
            <w:tabs>
              <w:tab w:val="right" w:leader="dot" w:pos="8306"/>
            </w:tabs>
            <w:kinsoku/>
            <w:wordWrap/>
            <w:overflowPunct w:val="0"/>
            <w:topLinePunct w:val="0"/>
            <w:autoSpaceDE/>
            <w:autoSpaceDN/>
            <w:bidi w:val="0"/>
            <w:adjustRightInd/>
            <w:snapToGrid/>
            <w:spacing w:line="360" w:lineRule="auto"/>
            <w:jc w:val="left"/>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HYPERLINK \l _Toc24279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一、本学位授权点年度建设总体情况</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PAGEREF _Toc24279 \h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1</w:t>
          </w:r>
          <w:r>
            <w:rPr>
              <w:rFonts w:hint="default" w:ascii="Times New Roman" w:hAnsi="Times New Roman" w:eastAsia="宋体" w:cs="Times New Roman"/>
              <w:b w:val="0"/>
              <w:bCs/>
              <w:sz w:val="28"/>
              <w:szCs w:val="28"/>
            </w:rPr>
            <w:fldChar w:fldCharType="end"/>
          </w:r>
          <w:r>
            <w:rPr>
              <w:rFonts w:hint="default" w:ascii="Times New Roman" w:hAnsi="Times New Roman" w:eastAsia="宋体" w:cs="Times New Roman"/>
              <w:b w:val="0"/>
              <w:bCs/>
              <w:sz w:val="28"/>
              <w:szCs w:val="28"/>
            </w:rPr>
            <w:fldChar w:fldCharType="end"/>
          </w:r>
        </w:p>
        <w:p w14:paraId="5C500734">
          <w:pPr>
            <w:pStyle w:val="28"/>
            <w:keepNext w:val="0"/>
            <w:keepLines w:val="0"/>
            <w:pageBreakBefore w:val="0"/>
            <w:widowControl w:val="0"/>
            <w:tabs>
              <w:tab w:val="right" w:leader="dot" w:pos="8306"/>
            </w:tabs>
            <w:kinsoku/>
            <w:wordWrap/>
            <w:overflowPunct w:val="0"/>
            <w:topLinePunct w:val="0"/>
            <w:autoSpaceDE/>
            <w:autoSpaceDN/>
            <w:bidi w:val="0"/>
            <w:adjustRightInd/>
            <w:snapToGrid/>
            <w:spacing w:line="360" w:lineRule="auto"/>
            <w:jc w:val="left"/>
            <w:textAlignment w:val="auto"/>
            <w:rPr>
              <w:rFonts w:hint="default" w:ascii="Times New Roman" w:hAnsi="Times New Roman" w:cs="Times New Roman"/>
              <w:b/>
            </w:rPr>
          </w:pP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HYPERLINK \l _Toc9723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二、本学位授权点建设情况</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PAGEREF _Toc9723 \h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2</w:t>
          </w:r>
          <w:r>
            <w:rPr>
              <w:rFonts w:hint="default" w:ascii="Times New Roman" w:hAnsi="Times New Roman" w:eastAsia="宋体" w:cs="Times New Roman"/>
              <w:b w:val="0"/>
              <w:bCs/>
              <w:sz w:val="28"/>
              <w:szCs w:val="28"/>
            </w:rPr>
            <w:fldChar w:fldCharType="end"/>
          </w:r>
          <w:r>
            <w:rPr>
              <w:rFonts w:hint="default" w:ascii="Times New Roman" w:hAnsi="Times New Roman" w:eastAsia="宋体" w:cs="Times New Roman"/>
              <w:b w:val="0"/>
              <w:bCs/>
              <w:sz w:val="28"/>
              <w:szCs w:val="28"/>
            </w:rPr>
            <w:fldChar w:fldCharType="end"/>
          </w:r>
        </w:p>
        <w:p w14:paraId="17695935">
          <w:pPr>
            <w:pStyle w:val="29"/>
            <w:keepNext w:val="0"/>
            <w:keepLines w:val="0"/>
            <w:pageBreakBefore w:val="0"/>
            <w:widowControl w:val="0"/>
            <w:tabs>
              <w:tab w:val="right" w:leader="dot" w:pos="8306"/>
            </w:tabs>
            <w:kinsoku/>
            <w:wordWrap/>
            <w:overflowPunct w:val="0"/>
            <w:topLinePunct w:val="0"/>
            <w:autoSpaceDE/>
            <w:autoSpaceDN/>
            <w:bidi w:val="0"/>
            <w:adjustRightInd/>
            <w:snapToGrid/>
            <w:spacing w:line="360" w:lineRule="auto"/>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_Toc21545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（一）人才培养</w:t>
          </w:r>
          <w:r>
            <w:rPr>
              <w:rFonts w:hint="default" w:ascii="Times New Roman" w:hAnsi="Times New Roman" w:eastAsia="宋体" w:cs="Times New Roman"/>
              <w:sz w:val="28"/>
              <w:szCs w:val="28"/>
              <w:lang w:val="en-US" w:eastAsia="zh-CN"/>
            </w:rPr>
            <w:tab/>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PAGEREF _Toc21545 \h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fldChar w:fldCharType="end"/>
          </w:r>
        </w:p>
        <w:p w14:paraId="192A1092">
          <w:pPr>
            <w:pStyle w:val="29"/>
            <w:keepNext w:val="0"/>
            <w:keepLines w:val="0"/>
            <w:pageBreakBefore w:val="0"/>
            <w:widowControl w:val="0"/>
            <w:tabs>
              <w:tab w:val="right" w:leader="dot" w:pos="8306"/>
            </w:tabs>
            <w:kinsoku/>
            <w:wordWrap/>
            <w:overflowPunct w:val="0"/>
            <w:topLinePunct w:val="0"/>
            <w:autoSpaceDE/>
            <w:autoSpaceDN/>
            <w:bidi w:val="0"/>
            <w:adjustRightInd/>
            <w:snapToGrid/>
            <w:spacing w:line="360" w:lineRule="auto"/>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_Toc29692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（二）师资队伍</w:t>
          </w:r>
          <w:r>
            <w:rPr>
              <w:rFonts w:hint="default" w:ascii="Times New Roman" w:hAnsi="Times New Roman" w:eastAsia="宋体" w:cs="Times New Roman"/>
              <w:sz w:val="28"/>
              <w:szCs w:val="28"/>
              <w:lang w:val="en-US" w:eastAsia="zh-CN"/>
            </w:rPr>
            <w:tab/>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PAGEREF _Toc29692 \h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8</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fldChar w:fldCharType="end"/>
          </w:r>
        </w:p>
        <w:p w14:paraId="03490D54">
          <w:pPr>
            <w:pStyle w:val="29"/>
            <w:keepNext w:val="0"/>
            <w:keepLines w:val="0"/>
            <w:pageBreakBefore w:val="0"/>
            <w:widowControl w:val="0"/>
            <w:tabs>
              <w:tab w:val="right" w:leader="dot" w:pos="8306"/>
            </w:tabs>
            <w:kinsoku/>
            <w:wordWrap/>
            <w:overflowPunct w:val="0"/>
            <w:topLinePunct w:val="0"/>
            <w:autoSpaceDE/>
            <w:autoSpaceDN/>
            <w:bidi w:val="0"/>
            <w:adjustRightInd/>
            <w:snapToGrid/>
            <w:spacing w:line="360" w:lineRule="auto"/>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_Toc28828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（三）科学研究和社会服务</w:t>
          </w:r>
          <w:r>
            <w:rPr>
              <w:rFonts w:hint="default" w:ascii="Times New Roman" w:hAnsi="Times New Roman" w:eastAsia="宋体" w:cs="Times New Roman"/>
              <w:sz w:val="28"/>
              <w:szCs w:val="28"/>
              <w:lang w:val="en-US" w:eastAsia="zh-CN"/>
            </w:rPr>
            <w:tab/>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PAGEREF _Toc28828 \h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11</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fldChar w:fldCharType="end"/>
          </w:r>
        </w:p>
        <w:p w14:paraId="280105F9">
          <w:pPr>
            <w:pStyle w:val="29"/>
            <w:keepNext w:val="0"/>
            <w:keepLines w:val="0"/>
            <w:pageBreakBefore w:val="0"/>
            <w:widowControl w:val="0"/>
            <w:tabs>
              <w:tab w:val="right" w:leader="dot" w:pos="8306"/>
            </w:tabs>
            <w:kinsoku/>
            <w:wordWrap/>
            <w:overflowPunct w:val="0"/>
            <w:topLinePunct w:val="0"/>
            <w:autoSpaceDE/>
            <w:autoSpaceDN/>
            <w:bidi w:val="0"/>
            <w:adjustRightInd/>
            <w:snapToGrid/>
            <w:spacing w:line="360" w:lineRule="auto"/>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_Toc5347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（四）国际合作交流</w:t>
          </w:r>
          <w:r>
            <w:rPr>
              <w:rFonts w:hint="default" w:ascii="Times New Roman" w:hAnsi="Times New Roman" w:eastAsia="宋体" w:cs="Times New Roman"/>
              <w:sz w:val="28"/>
              <w:szCs w:val="28"/>
              <w:lang w:val="en-US" w:eastAsia="zh-CN"/>
            </w:rPr>
            <w:tab/>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PAGEREF _Toc5347 \h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17</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fldChar w:fldCharType="end"/>
          </w:r>
        </w:p>
        <w:p w14:paraId="62455EAD">
          <w:pPr>
            <w:pStyle w:val="28"/>
            <w:keepNext w:val="0"/>
            <w:keepLines w:val="0"/>
            <w:pageBreakBefore w:val="0"/>
            <w:widowControl w:val="0"/>
            <w:tabs>
              <w:tab w:val="right" w:leader="dot" w:pos="8306"/>
            </w:tabs>
            <w:kinsoku/>
            <w:wordWrap/>
            <w:overflowPunct w:val="0"/>
            <w:topLinePunct w:val="0"/>
            <w:autoSpaceDE/>
            <w:autoSpaceDN/>
            <w:bidi w:val="0"/>
            <w:adjustRightInd/>
            <w:snapToGrid/>
            <w:spacing w:line="360" w:lineRule="auto"/>
            <w:jc w:val="left"/>
            <w:textAlignment w:val="auto"/>
            <w:rPr>
              <w:rFonts w:hint="default" w:ascii="Times New Roman" w:hAnsi="Times New Roman" w:eastAsia="宋体" w:cs="Times New Roman"/>
              <w:b w:val="0"/>
              <w:bCs/>
              <w:sz w:val="28"/>
              <w:szCs w:val="28"/>
              <w:lang w:val="en-US" w:eastAsia="zh-CN"/>
            </w:rPr>
          </w:pPr>
          <w:r>
            <w:rPr>
              <w:rFonts w:hint="default" w:ascii="Times New Roman" w:hAnsi="Times New Roman" w:eastAsia="宋体" w:cs="Times New Roman"/>
              <w:b w:val="0"/>
              <w:bCs/>
              <w:sz w:val="28"/>
              <w:szCs w:val="28"/>
              <w:lang w:val="en-US" w:eastAsia="zh-CN"/>
            </w:rPr>
            <w:fldChar w:fldCharType="begin"/>
          </w:r>
          <w:r>
            <w:rPr>
              <w:rFonts w:hint="default" w:ascii="Times New Roman" w:hAnsi="Times New Roman" w:eastAsia="宋体" w:cs="Times New Roman"/>
              <w:b w:val="0"/>
              <w:bCs/>
              <w:sz w:val="28"/>
              <w:szCs w:val="28"/>
              <w:lang w:val="en-US" w:eastAsia="zh-CN"/>
            </w:rPr>
            <w:instrText xml:space="preserve"> HYPERLINK \l _Toc3662 </w:instrText>
          </w:r>
          <w:r>
            <w:rPr>
              <w:rFonts w:hint="default" w:ascii="Times New Roman" w:hAnsi="Times New Roman" w:eastAsia="宋体" w:cs="Times New Roman"/>
              <w:b w:val="0"/>
              <w:bCs/>
              <w:sz w:val="28"/>
              <w:szCs w:val="28"/>
              <w:lang w:val="en-US" w:eastAsia="zh-CN"/>
            </w:rPr>
            <w:fldChar w:fldCharType="separate"/>
          </w:r>
          <w:r>
            <w:rPr>
              <w:rFonts w:hint="default" w:ascii="Times New Roman" w:hAnsi="Times New Roman" w:eastAsia="宋体" w:cs="Times New Roman"/>
              <w:b w:val="0"/>
              <w:bCs/>
              <w:sz w:val="28"/>
              <w:szCs w:val="28"/>
              <w:lang w:val="en-US" w:eastAsia="zh-CN"/>
            </w:rPr>
            <w:t>三、质量保障措施</w:t>
          </w:r>
          <w:r>
            <w:rPr>
              <w:rFonts w:hint="default" w:ascii="Times New Roman" w:hAnsi="Times New Roman" w:eastAsia="宋体" w:cs="Times New Roman"/>
              <w:b w:val="0"/>
              <w:bCs/>
              <w:sz w:val="28"/>
              <w:szCs w:val="28"/>
              <w:lang w:val="en-US" w:eastAsia="zh-CN"/>
            </w:rPr>
            <w:tab/>
          </w:r>
          <w:r>
            <w:rPr>
              <w:rFonts w:hint="default" w:ascii="Times New Roman" w:hAnsi="Times New Roman" w:eastAsia="宋体" w:cs="Times New Roman"/>
              <w:b w:val="0"/>
              <w:bCs/>
              <w:sz w:val="28"/>
              <w:szCs w:val="28"/>
              <w:lang w:val="en-US" w:eastAsia="zh-CN"/>
            </w:rPr>
            <w:fldChar w:fldCharType="begin"/>
          </w:r>
          <w:r>
            <w:rPr>
              <w:rFonts w:hint="default" w:ascii="Times New Roman" w:hAnsi="Times New Roman" w:eastAsia="宋体" w:cs="Times New Roman"/>
              <w:b w:val="0"/>
              <w:bCs/>
              <w:sz w:val="28"/>
              <w:szCs w:val="28"/>
              <w:lang w:val="en-US" w:eastAsia="zh-CN"/>
            </w:rPr>
            <w:instrText xml:space="preserve"> PAGEREF _Toc3662 \h </w:instrText>
          </w:r>
          <w:r>
            <w:rPr>
              <w:rFonts w:hint="default" w:ascii="Times New Roman" w:hAnsi="Times New Roman" w:eastAsia="宋体" w:cs="Times New Roman"/>
              <w:b w:val="0"/>
              <w:bCs/>
              <w:sz w:val="28"/>
              <w:szCs w:val="28"/>
              <w:lang w:val="en-US" w:eastAsia="zh-CN"/>
            </w:rPr>
            <w:fldChar w:fldCharType="separate"/>
          </w:r>
          <w:r>
            <w:rPr>
              <w:rFonts w:hint="default" w:ascii="Times New Roman" w:hAnsi="Times New Roman" w:eastAsia="宋体" w:cs="Times New Roman"/>
              <w:b w:val="0"/>
              <w:bCs/>
              <w:sz w:val="28"/>
              <w:szCs w:val="28"/>
              <w:lang w:val="en-US" w:eastAsia="zh-CN"/>
            </w:rPr>
            <w:t>18</w:t>
          </w:r>
          <w:r>
            <w:rPr>
              <w:rFonts w:hint="default" w:ascii="Times New Roman" w:hAnsi="Times New Roman" w:eastAsia="宋体" w:cs="Times New Roman"/>
              <w:b w:val="0"/>
              <w:bCs/>
              <w:sz w:val="28"/>
              <w:szCs w:val="28"/>
              <w:lang w:val="en-US" w:eastAsia="zh-CN"/>
            </w:rPr>
            <w:fldChar w:fldCharType="end"/>
          </w:r>
          <w:r>
            <w:rPr>
              <w:rFonts w:hint="default" w:ascii="Times New Roman" w:hAnsi="Times New Roman" w:eastAsia="宋体" w:cs="Times New Roman"/>
              <w:b w:val="0"/>
              <w:bCs/>
              <w:sz w:val="28"/>
              <w:szCs w:val="28"/>
              <w:lang w:val="en-US" w:eastAsia="zh-CN"/>
            </w:rPr>
            <w:fldChar w:fldCharType="end"/>
          </w:r>
        </w:p>
        <w:p w14:paraId="2E0E6523">
          <w:pPr>
            <w:pStyle w:val="29"/>
            <w:keepNext w:val="0"/>
            <w:keepLines w:val="0"/>
            <w:pageBreakBefore w:val="0"/>
            <w:widowControl w:val="0"/>
            <w:tabs>
              <w:tab w:val="right" w:leader="dot" w:pos="8306"/>
            </w:tabs>
            <w:kinsoku/>
            <w:wordWrap/>
            <w:overflowPunct w:val="0"/>
            <w:topLinePunct w:val="0"/>
            <w:autoSpaceDE/>
            <w:autoSpaceDN/>
            <w:bidi w:val="0"/>
            <w:adjustRightInd/>
            <w:snapToGrid/>
            <w:spacing w:line="360" w:lineRule="auto"/>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_Toc4412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（一）组织保障</w:t>
          </w:r>
          <w:r>
            <w:rPr>
              <w:rFonts w:hint="default" w:ascii="Times New Roman" w:hAnsi="Times New Roman" w:eastAsia="宋体" w:cs="Times New Roman"/>
              <w:sz w:val="28"/>
              <w:szCs w:val="28"/>
              <w:lang w:val="en-US" w:eastAsia="zh-CN"/>
            </w:rPr>
            <w:tab/>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PAGEREF _Toc4412 \h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18</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fldChar w:fldCharType="end"/>
          </w:r>
        </w:p>
        <w:p w14:paraId="72D47879">
          <w:pPr>
            <w:pStyle w:val="29"/>
            <w:keepNext w:val="0"/>
            <w:keepLines w:val="0"/>
            <w:pageBreakBefore w:val="0"/>
            <w:widowControl w:val="0"/>
            <w:tabs>
              <w:tab w:val="right" w:leader="dot" w:pos="8306"/>
            </w:tabs>
            <w:kinsoku/>
            <w:wordWrap/>
            <w:overflowPunct w:val="0"/>
            <w:topLinePunct w:val="0"/>
            <w:autoSpaceDE/>
            <w:autoSpaceDN/>
            <w:bidi w:val="0"/>
            <w:adjustRightInd/>
            <w:snapToGrid/>
            <w:spacing w:line="360" w:lineRule="auto"/>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_Toc5392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（二）学风建设</w:t>
          </w:r>
          <w:r>
            <w:rPr>
              <w:rFonts w:hint="default" w:ascii="Times New Roman" w:hAnsi="Times New Roman" w:eastAsia="宋体" w:cs="Times New Roman"/>
              <w:sz w:val="28"/>
              <w:szCs w:val="28"/>
              <w:lang w:val="en-US" w:eastAsia="zh-CN"/>
            </w:rPr>
            <w:tab/>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PAGEREF _Toc5392 \h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18</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fldChar w:fldCharType="end"/>
          </w:r>
        </w:p>
        <w:p w14:paraId="4BF88E16">
          <w:pPr>
            <w:pStyle w:val="29"/>
            <w:keepNext w:val="0"/>
            <w:keepLines w:val="0"/>
            <w:pageBreakBefore w:val="0"/>
            <w:widowControl w:val="0"/>
            <w:tabs>
              <w:tab w:val="right" w:leader="dot" w:pos="8306"/>
            </w:tabs>
            <w:kinsoku/>
            <w:wordWrap/>
            <w:overflowPunct w:val="0"/>
            <w:topLinePunct w:val="0"/>
            <w:autoSpaceDE/>
            <w:autoSpaceDN/>
            <w:bidi w:val="0"/>
            <w:adjustRightInd/>
            <w:snapToGrid/>
            <w:spacing w:line="360" w:lineRule="auto"/>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_Toc5420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（三）奖助体系</w:t>
          </w:r>
          <w:r>
            <w:rPr>
              <w:rFonts w:hint="default" w:ascii="Times New Roman" w:hAnsi="Times New Roman" w:eastAsia="宋体" w:cs="Times New Roman"/>
              <w:sz w:val="28"/>
              <w:szCs w:val="28"/>
              <w:lang w:val="en-US" w:eastAsia="zh-CN"/>
            </w:rPr>
            <w:tab/>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PAGEREF _Toc5420 \h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19</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fldChar w:fldCharType="end"/>
          </w:r>
        </w:p>
        <w:p w14:paraId="249E698E">
          <w:pPr>
            <w:pStyle w:val="28"/>
            <w:keepNext w:val="0"/>
            <w:keepLines w:val="0"/>
            <w:pageBreakBefore w:val="0"/>
            <w:widowControl w:val="0"/>
            <w:tabs>
              <w:tab w:val="right" w:leader="dot" w:pos="8306"/>
            </w:tabs>
            <w:kinsoku/>
            <w:wordWrap/>
            <w:overflowPunct w:val="0"/>
            <w:topLinePunct w:val="0"/>
            <w:autoSpaceDE/>
            <w:autoSpaceDN/>
            <w:bidi w:val="0"/>
            <w:adjustRightInd/>
            <w:snapToGrid/>
            <w:spacing w:line="360" w:lineRule="auto"/>
            <w:jc w:val="left"/>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HYPERLINK \l _Toc7619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四、存在问题及下一步建设思路</w:t>
          </w:r>
          <w:r>
            <w:rPr>
              <w:rFonts w:hint="default" w:ascii="Times New Roman" w:hAnsi="Times New Roman" w:eastAsia="宋体" w:cs="Times New Roman"/>
              <w:b w:val="0"/>
              <w:bCs/>
              <w:sz w:val="28"/>
              <w:szCs w:val="28"/>
            </w:rPr>
            <w:tab/>
          </w:r>
          <w:r>
            <w:rPr>
              <w:rFonts w:hint="default" w:ascii="Times New Roman" w:hAnsi="Times New Roman" w:eastAsia="宋体" w:cs="Times New Roman"/>
              <w:b w:val="0"/>
              <w:bCs/>
              <w:sz w:val="28"/>
              <w:szCs w:val="28"/>
            </w:rPr>
            <w:fldChar w:fldCharType="begin"/>
          </w:r>
          <w:r>
            <w:rPr>
              <w:rFonts w:hint="default" w:ascii="Times New Roman" w:hAnsi="Times New Roman" w:eastAsia="宋体" w:cs="Times New Roman"/>
              <w:b w:val="0"/>
              <w:bCs/>
              <w:sz w:val="28"/>
              <w:szCs w:val="28"/>
            </w:rPr>
            <w:instrText xml:space="preserve"> PAGEREF _Toc7619 \h </w:instrText>
          </w:r>
          <w:r>
            <w:rPr>
              <w:rFonts w:hint="default" w:ascii="Times New Roman" w:hAnsi="Times New Roman" w:eastAsia="宋体" w:cs="Times New Roman"/>
              <w:b w:val="0"/>
              <w:bCs/>
              <w:sz w:val="28"/>
              <w:szCs w:val="28"/>
            </w:rPr>
            <w:fldChar w:fldCharType="separate"/>
          </w:r>
          <w:r>
            <w:rPr>
              <w:rFonts w:hint="default" w:ascii="Times New Roman" w:hAnsi="Times New Roman" w:eastAsia="宋体" w:cs="Times New Roman"/>
              <w:b w:val="0"/>
              <w:bCs/>
              <w:sz w:val="28"/>
              <w:szCs w:val="28"/>
            </w:rPr>
            <w:t>19</w:t>
          </w:r>
          <w:r>
            <w:rPr>
              <w:rFonts w:hint="default" w:ascii="Times New Roman" w:hAnsi="Times New Roman" w:eastAsia="宋体" w:cs="Times New Roman"/>
              <w:b w:val="0"/>
              <w:bCs/>
              <w:sz w:val="28"/>
              <w:szCs w:val="28"/>
            </w:rPr>
            <w:fldChar w:fldCharType="end"/>
          </w:r>
          <w:r>
            <w:rPr>
              <w:rFonts w:hint="default" w:ascii="Times New Roman" w:hAnsi="Times New Roman" w:eastAsia="宋体" w:cs="Times New Roman"/>
              <w:b w:val="0"/>
              <w:bCs/>
              <w:sz w:val="28"/>
              <w:szCs w:val="28"/>
            </w:rPr>
            <w:fldChar w:fldCharType="end"/>
          </w:r>
        </w:p>
        <w:p w14:paraId="4F25CD44">
          <w:pPr>
            <w:pStyle w:val="29"/>
            <w:keepNext w:val="0"/>
            <w:keepLines w:val="0"/>
            <w:pageBreakBefore w:val="0"/>
            <w:widowControl w:val="0"/>
            <w:tabs>
              <w:tab w:val="right" w:leader="dot" w:pos="8306"/>
            </w:tabs>
            <w:kinsoku/>
            <w:wordWrap/>
            <w:overflowPunct w:val="0"/>
            <w:topLinePunct w:val="0"/>
            <w:autoSpaceDE/>
            <w:autoSpaceDN/>
            <w:bidi w:val="0"/>
            <w:adjustRightInd/>
            <w:snapToGrid/>
            <w:spacing w:line="360" w:lineRule="auto"/>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_Toc9775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（一）存在的问题</w:t>
          </w:r>
          <w:r>
            <w:rPr>
              <w:rFonts w:hint="default" w:ascii="Times New Roman" w:hAnsi="Times New Roman" w:eastAsia="宋体" w:cs="Times New Roman"/>
              <w:sz w:val="28"/>
              <w:szCs w:val="28"/>
              <w:lang w:val="en-US" w:eastAsia="zh-CN"/>
            </w:rPr>
            <w:tab/>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PAGEREF _Toc9775 \h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19</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fldChar w:fldCharType="end"/>
          </w:r>
        </w:p>
        <w:p w14:paraId="0C90B754">
          <w:pPr>
            <w:pStyle w:val="29"/>
            <w:keepNext w:val="0"/>
            <w:keepLines w:val="0"/>
            <w:pageBreakBefore w:val="0"/>
            <w:widowControl w:val="0"/>
            <w:tabs>
              <w:tab w:val="right" w:leader="dot" w:pos="8306"/>
            </w:tabs>
            <w:kinsoku/>
            <w:wordWrap/>
            <w:overflowPunct w:val="0"/>
            <w:topLinePunct w:val="0"/>
            <w:autoSpaceDE/>
            <w:autoSpaceDN/>
            <w:bidi w:val="0"/>
            <w:adjustRightInd/>
            <w:snapToGrid/>
            <w:spacing w:line="360" w:lineRule="auto"/>
            <w:jc w:val="left"/>
            <w:textAlignment w:val="auto"/>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_Toc12169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（二）下一步建设思路</w:t>
          </w:r>
          <w:r>
            <w:rPr>
              <w:rFonts w:hint="default" w:ascii="Times New Roman" w:hAnsi="Times New Roman" w:eastAsia="宋体" w:cs="Times New Roman"/>
              <w:sz w:val="28"/>
              <w:szCs w:val="28"/>
              <w:lang w:val="en-US" w:eastAsia="zh-CN"/>
            </w:rPr>
            <w:tab/>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PAGEREF _Toc12169 \h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19</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fldChar w:fldCharType="end"/>
          </w:r>
        </w:p>
        <w:p w14:paraId="2FB7CADB">
          <w:pPr>
            <w:keepNext w:val="0"/>
            <w:keepLines w:val="0"/>
            <w:pageBreakBefore w:val="0"/>
            <w:widowControl w:val="0"/>
            <w:kinsoku/>
            <w:wordWrap/>
            <w:overflowPunct w:val="0"/>
            <w:topLinePunct w:val="0"/>
            <w:autoSpaceDE/>
            <w:autoSpaceDN/>
            <w:bidi w:val="0"/>
            <w:adjustRightInd/>
            <w:snapToGrid w:val="0"/>
            <w:spacing w:line="360" w:lineRule="auto"/>
            <w:ind w:left="-210" w:leftChars="-100" w:right="-210" w:rightChars="-100"/>
            <w:jc w:val="center"/>
            <w:textAlignment w:val="auto"/>
            <w:outlineLvl w:val="9"/>
            <w:rPr>
              <w:rFonts w:ascii="Times New Roman" w:hAnsi="Times New Roman" w:eastAsia="黑体" w:cs="Times New Roman"/>
              <w:b/>
              <w:kern w:val="2"/>
              <w:sz w:val="21"/>
              <w:szCs w:val="36"/>
              <w:lang w:val="en-US" w:eastAsia="zh-CN" w:bidi="ar-SA"/>
            </w:rPr>
          </w:pPr>
          <w:r>
            <w:rPr>
              <w:rFonts w:ascii="Times New Roman" w:hAnsi="Times New Roman" w:eastAsia="黑体" w:cs="Times New Roman"/>
              <w:b/>
              <w:szCs w:val="36"/>
            </w:rPr>
            <w:fldChar w:fldCharType="end"/>
          </w:r>
        </w:p>
      </w:sdtContent>
    </w:sdt>
    <w:p w14:paraId="4D42C3E2">
      <w:pPr>
        <w:pStyle w:val="2"/>
        <w:keepNext w:val="0"/>
        <w:keepLines w:val="0"/>
        <w:pageBreakBefore w:val="0"/>
        <w:widowControl w:val="0"/>
        <w:kinsoku/>
        <w:wordWrap/>
        <w:overflowPunct w:val="0"/>
        <w:topLinePunct w:val="0"/>
        <w:autoSpaceDE/>
        <w:autoSpaceDN/>
        <w:bidi w:val="0"/>
        <w:sectPr>
          <w:pgSz w:w="11906" w:h="16838"/>
          <w:pgMar w:top="1440" w:right="1684" w:bottom="1440" w:left="1797" w:header="851" w:footer="992" w:gutter="0"/>
          <w:cols w:space="0" w:num="1"/>
          <w:rtlGutter w:val="0"/>
          <w:docGrid w:type="lines" w:linePitch="436" w:charSpace="0"/>
        </w:sectPr>
      </w:pPr>
    </w:p>
    <w:p w14:paraId="758D7CDC">
      <w:pPr>
        <w:pStyle w:val="3"/>
        <w:keepNext w:val="0"/>
        <w:keepLines w:val="0"/>
        <w:pageBreakBefore w:val="0"/>
        <w:widowControl w:val="0"/>
        <w:kinsoku/>
        <w:wordWrap/>
        <w:overflowPunct w:val="0"/>
        <w:topLinePunct w:val="0"/>
        <w:autoSpaceDE/>
        <w:autoSpaceDN/>
        <w:bidi w:val="0"/>
        <w:adjustRightInd/>
        <w:snapToGrid w:val="0"/>
        <w:spacing w:before="0" w:beforeLines="0" w:after="0" w:afterLines="0" w:line="360" w:lineRule="auto"/>
        <w:ind w:left="0" w:leftChars="0" w:right="0" w:rightChars="0"/>
        <w:jc w:val="left"/>
        <w:textAlignment w:val="auto"/>
        <w:rPr>
          <w:rFonts w:hint="eastAsia" w:ascii="黑体" w:hAnsi="黑体" w:eastAsia="黑体" w:cs="黑体"/>
          <w:b w:val="0"/>
          <w:bCs/>
          <w:sz w:val="32"/>
          <w:szCs w:val="32"/>
        </w:rPr>
      </w:pPr>
      <w:bookmarkStart w:id="1" w:name="_Toc24279"/>
      <w:r>
        <w:rPr>
          <w:rFonts w:hint="eastAsia" w:ascii="黑体" w:hAnsi="黑体" w:eastAsia="黑体" w:cs="黑体"/>
          <w:b w:val="0"/>
          <w:bCs/>
          <w:sz w:val="32"/>
          <w:szCs w:val="32"/>
        </w:rPr>
        <w:t>一、本学位授权点年度建设总体情况</w:t>
      </w:r>
      <w:bookmarkEnd w:id="1"/>
    </w:p>
    <w:p w14:paraId="0B5034FF">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kern w:val="0"/>
          <w:sz w:val="24"/>
          <w:szCs w:val="24"/>
          <w:lang w:bidi="ar"/>
        </w:rPr>
      </w:pPr>
      <w:r>
        <w:rPr>
          <w:rFonts w:hint="eastAsia" w:ascii="宋体" w:hAnsi="宋体" w:eastAsia="宋体" w:cs="宋体"/>
          <w:color w:val="000000"/>
          <w:kern w:val="0"/>
          <w:sz w:val="24"/>
          <w:szCs w:val="24"/>
          <w:lang w:bidi="ar"/>
        </w:rPr>
        <w:t>我校风景园林专业硕士学位授权点以培养高水平应用型、复合型、创新型风景园林人才为目标，围绕人居环境、社会发展对风景园林的需求，培养具有较强专业能力、职业素养、创新思维、家国情怀和国际视野，德智体美劳全面发展，并能从事风景园林规划、设计、建设、保护、评价、修复、更新、运营和管理等工</w:t>
      </w:r>
      <w:r>
        <w:rPr>
          <w:rFonts w:hint="default" w:ascii="Times New Roman" w:hAnsi="Times New Roman" w:eastAsia="宋体" w:cs="Times New Roman"/>
          <w:color w:val="000000"/>
          <w:kern w:val="0"/>
          <w:sz w:val="24"/>
          <w:szCs w:val="24"/>
          <w:lang w:bidi="ar"/>
        </w:rPr>
        <w:t>作的复合应用型高层次专门人才。</w:t>
      </w:r>
    </w:p>
    <w:p w14:paraId="39765625">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560" w:firstLineChars="200"/>
        <w:jc w:val="both"/>
        <w:textAlignment w:val="auto"/>
        <w:outlineLvl w:val="1"/>
        <w:rPr>
          <w:rFonts w:hint="eastAsia" w:ascii="Times New Roman" w:hAnsi="Times New Roman" w:eastAsia="黑体" w:cs="Times New Roman"/>
          <w:b w:val="0"/>
          <w:bCs/>
          <w:kern w:val="2"/>
          <w:sz w:val="28"/>
          <w:szCs w:val="28"/>
          <w:lang w:val="en-US" w:eastAsia="zh-CN" w:bidi="ar-SA"/>
        </w:rPr>
      </w:pPr>
      <w:bookmarkStart w:id="2" w:name="_Toc29628"/>
      <w:r>
        <w:rPr>
          <w:rFonts w:hint="default" w:ascii="Times New Roman" w:hAnsi="Times New Roman" w:eastAsia="黑体" w:cs="Times New Roman"/>
          <w:b w:val="0"/>
          <w:bCs/>
          <w:kern w:val="2"/>
          <w:sz w:val="28"/>
          <w:szCs w:val="28"/>
          <w:lang w:val="en-US" w:eastAsia="zh-CN" w:bidi="ar-SA"/>
        </w:rPr>
        <w:t>（</w:t>
      </w:r>
      <w:r>
        <w:rPr>
          <w:rFonts w:hint="eastAsia" w:ascii="Times New Roman" w:hAnsi="Times New Roman" w:eastAsia="黑体" w:cs="Times New Roman"/>
          <w:b w:val="0"/>
          <w:bCs/>
          <w:kern w:val="2"/>
          <w:sz w:val="28"/>
          <w:szCs w:val="28"/>
          <w:lang w:val="en-US" w:eastAsia="zh-CN" w:bidi="ar-SA"/>
        </w:rPr>
        <w:t>一</w:t>
      </w:r>
      <w:r>
        <w:rPr>
          <w:rFonts w:hint="default" w:ascii="Times New Roman" w:hAnsi="Times New Roman" w:eastAsia="黑体" w:cs="Times New Roman"/>
          <w:b w:val="0"/>
          <w:bCs/>
          <w:kern w:val="2"/>
          <w:sz w:val="28"/>
          <w:szCs w:val="28"/>
          <w:lang w:val="en-US" w:eastAsia="zh-CN" w:bidi="ar-SA"/>
        </w:rPr>
        <w:t>）</w:t>
      </w:r>
      <w:r>
        <w:rPr>
          <w:rFonts w:hint="eastAsia" w:ascii="Times New Roman" w:hAnsi="Times New Roman" w:eastAsia="黑体" w:cs="Times New Roman"/>
          <w:b w:val="0"/>
          <w:bCs/>
          <w:kern w:val="2"/>
          <w:sz w:val="28"/>
          <w:szCs w:val="28"/>
          <w:lang w:val="en-US" w:eastAsia="zh-CN" w:bidi="ar-SA"/>
        </w:rPr>
        <w:t>构建“三位一</w:t>
      </w:r>
      <w:bookmarkStart w:id="20" w:name="_GoBack"/>
      <w:bookmarkEnd w:id="20"/>
      <w:r>
        <w:rPr>
          <w:rFonts w:hint="eastAsia" w:ascii="Times New Roman" w:hAnsi="Times New Roman" w:eastAsia="黑体" w:cs="Times New Roman"/>
          <w:b w:val="0"/>
          <w:bCs/>
          <w:kern w:val="2"/>
          <w:sz w:val="28"/>
          <w:szCs w:val="28"/>
          <w:lang w:val="en-US" w:eastAsia="zh-CN" w:bidi="ar-SA"/>
        </w:rPr>
        <w:t>体”育人体系，人才培养成效显著</w:t>
      </w:r>
      <w:bookmarkEnd w:id="2"/>
    </w:p>
    <w:p w14:paraId="51A76D44">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本学位点立足国家生态文明战略，以培养</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应用型、复合型、创新型</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风景园林人才</w:t>
      </w:r>
      <w:r>
        <w:rPr>
          <w:rFonts w:hint="default" w:ascii="Times New Roman" w:hAnsi="Times New Roman" w:eastAsia="宋体" w:cs="Times New Roman"/>
          <w:color w:val="000000"/>
          <w:kern w:val="0"/>
          <w:sz w:val="24"/>
          <w:szCs w:val="24"/>
          <w:lang w:bidi="ar"/>
        </w:rPr>
        <w:t>为目标，深度融合多学科优势。2024年招收风景园林专业硕士研究生70人，毕业73人；研究生科技创新基金项目立项5项（其中重点项目1项），获各类设计竞赛奖68项，研究生发表高水平学术论文32篇；新增硕士生导师3人，获研究生精品课程等3项。创</w:t>
      </w:r>
      <w:r>
        <w:rPr>
          <w:rFonts w:hint="eastAsia" w:ascii="宋体" w:hAnsi="宋体" w:eastAsia="宋体" w:cs="宋体"/>
          <w:color w:val="000000"/>
          <w:kern w:val="0"/>
          <w:sz w:val="24"/>
          <w:szCs w:val="24"/>
          <w:lang w:bidi="ar"/>
        </w:rPr>
        <w:t>新“产学研”协同育人模式，</w:t>
      </w:r>
      <w:r>
        <w:rPr>
          <w:rFonts w:hint="default" w:ascii="Times New Roman" w:hAnsi="Times New Roman" w:eastAsia="宋体" w:cs="Times New Roman"/>
          <w:color w:val="000000"/>
          <w:kern w:val="0"/>
          <w:sz w:val="24"/>
          <w:szCs w:val="24"/>
          <w:lang w:bidi="ar"/>
        </w:rPr>
        <w:t>与32家行业领军企业共建实践基地，新增湖南省研究生拔尖创新人才联合培养基地1个，全国风景园林专业学位研究生联</w:t>
      </w:r>
      <w:r>
        <w:rPr>
          <w:rFonts w:hint="eastAsia" w:ascii="宋体" w:hAnsi="宋体" w:eastAsia="宋体" w:cs="宋体"/>
          <w:color w:val="000000"/>
          <w:kern w:val="0"/>
          <w:sz w:val="24"/>
          <w:szCs w:val="24"/>
          <w:lang w:bidi="ar"/>
        </w:rPr>
        <w:t>合培养基地（“中南林业科技大学－南宁青秀山研究生培养创新基地”）通过了全国风景园林专业指导委员会复核。</w:t>
      </w:r>
    </w:p>
    <w:p w14:paraId="1F17B1B5">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560" w:firstLineChars="200"/>
        <w:jc w:val="both"/>
        <w:textAlignment w:val="auto"/>
        <w:outlineLvl w:val="1"/>
        <w:rPr>
          <w:rFonts w:hint="default" w:ascii="Times New Roman" w:hAnsi="Times New Roman" w:eastAsia="黑体" w:cs="Times New Roman"/>
          <w:b w:val="0"/>
          <w:bCs/>
          <w:kern w:val="2"/>
          <w:sz w:val="28"/>
          <w:szCs w:val="28"/>
          <w:lang w:val="en-US" w:eastAsia="zh-CN" w:bidi="ar-SA"/>
        </w:rPr>
      </w:pPr>
      <w:bookmarkStart w:id="3" w:name="_Toc6129"/>
      <w:r>
        <w:rPr>
          <w:rFonts w:hint="default" w:ascii="Times New Roman" w:hAnsi="Times New Roman" w:eastAsia="黑体" w:cs="Times New Roman"/>
          <w:b w:val="0"/>
          <w:bCs/>
          <w:kern w:val="2"/>
          <w:sz w:val="28"/>
          <w:szCs w:val="28"/>
          <w:lang w:val="en-US" w:eastAsia="zh-CN" w:bidi="ar-SA"/>
        </w:rPr>
        <w:t>（</w:t>
      </w:r>
      <w:r>
        <w:rPr>
          <w:rFonts w:hint="eastAsia" w:ascii="Times New Roman" w:hAnsi="Times New Roman" w:eastAsia="黑体" w:cs="Times New Roman"/>
          <w:b w:val="0"/>
          <w:bCs/>
          <w:kern w:val="2"/>
          <w:sz w:val="28"/>
          <w:szCs w:val="28"/>
          <w:lang w:val="en-US" w:eastAsia="zh-CN" w:bidi="ar-SA"/>
        </w:rPr>
        <w:t>二</w:t>
      </w:r>
      <w:r>
        <w:rPr>
          <w:rFonts w:hint="default" w:ascii="Times New Roman" w:hAnsi="Times New Roman" w:eastAsia="黑体" w:cs="Times New Roman"/>
          <w:b w:val="0"/>
          <w:bCs/>
          <w:kern w:val="2"/>
          <w:sz w:val="28"/>
          <w:szCs w:val="28"/>
          <w:lang w:val="en-US" w:eastAsia="zh-CN" w:bidi="ar-SA"/>
        </w:rPr>
        <w:t>）打造高水平教学科研团队，加快师资建设水平</w:t>
      </w:r>
      <w:bookmarkEnd w:id="3"/>
    </w:p>
    <w:p w14:paraId="58D2C158">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default" w:ascii="Times New Roman" w:hAnsi="Times New Roman" w:eastAsia="宋体" w:cs="Times New Roman"/>
          <w:color w:val="000000"/>
          <w:kern w:val="0"/>
          <w:sz w:val="24"/>
          <w:szCs w:val="24"/>
          <w:lang w:bidi="ar"/>
        </w:rPr>
        <w:t>现有专任教师53人，其中教授15人（含湖南省优秀导师1人）、副教授20人，45岁以下青年教师占比54.7%，博</w:t>
      </w:r>
      <w:r>
        <w:rPr>
          <w:rFonts w:hint="eastAsia" w:ascii="宋体" w:hAnsi="宋体" w:eastAsia="宋体" w:cs="宋体"/>
          <w:color w:val="000000"/>
          <w:kern w:val="0"/>
          <w:sz w:val="24"/>
          <w:szCs w:val="24"/>
          <w:lang w:bidi="ar"/>
        </w:rPr>
        <w:t>士学位教师达73.6%，海外研修经历教师</w:t>
      </w:r>
      <w:r>
        <w:rPr>
          <w:rFonts w:hint="default" w:ascii="Times New Roman" w:hAnsi="Times New Roman" w:eastAsia="宋体" w:cs="Times New Roman"/>
          <w:color w:val="000000"/>
          <w:kern w:val="0"/>
          <w:sz w:val="24"/>
          <w:szCs w:val="24"/>
          <w:lang w:bidi="ar"/>
        </w:rPr>
        <w:t>占22.6%</w:t>
      </w:r>
      <w:r>
        <w:rPr>
          <w:rFonts w:hint="eastAsia" w:ascii="宋体" w:hAnsi="宋体" w:eastAsia="宋体" w:cs="宋体"/>
          <w:color w:val="000000"/>
          <w:kern w:val="0"/>
          <w:sz w:val="24"/>
          <w:szCs w:val="24"/>
          <w:lang w:bidi="ar"/>
        </w:rPr>
        <w:t>。实施“引育并举”战略，年度引进知名高校博士3人，新晋升教授2人、副</w:t>
      </w:r>
      <w:r>
        <w:rPr>
          <w:rFonts w:hint="default" w:ascii="Times New Roman" w:hAnsi="Times New Roman" w:eastAsia="宋体" w:cs="Times New Roman"/>
          <w:color w:val="000000"/>
          <w:kern w:val="0"/>
          <w:sz w:val="24"/>
          <w:szCs w:val="24"/>
          <w:lang w:bidi="ar"/>
        </w:rPr>
        <w:t>教授3人，选派3人次教师赴国内外访学。建成湖南省优秀导师团队1个、研究生优秀教学团队2个，形成以</w:t>
      </w:r>
      <w:r>
        <w:rPr>
          <w:rFonts w:hint="eastAsia" w:ascii="宋体" w:hAnsi="宋体" w:eastAsia="宋体" w:cs="宋体"/>
          <w:color w:val="000000"/>
          <w:kern w:val="0"/>
          <w:sz w:val="24"/>
          <w:szCs w:val="24"/>
          <w:lang w:bidi="ar"/>
        </w:rPr>
        <w:t>国家级实验教学示范中心、全国示范性联合培养基地为核心的教学平台体系。</w:t>
      </w:r>
    </w:p>
    <w:p w14:paraId="28503BCA">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560" w:firstLineChars="200"/>
        <w:jc w:val="both"/>
        <w:textAlignment w:val="auto"/>
        <w:outlineLvl w:val="1"/>
        <w:rPr>
          <w:rFonts w:hint="default" w:ascii="Times New Roman" w:hAnsi="Times New Roman" w:eastAsia="黑体" w:cs="Times New Roman"/>
          <w:b w:val="0"/>
          <w:bCs/>
          <w:kern w:val="2"/>
          <w:sz w:val="28"/>
          <w:szCs w:val="28"/>
          <w:lang w:val="en-US" w:eastAsia="zh-CN" w:bidi="ar-SA"/>
        </w:rPr>
      </w:pPr>
      <w:bookmarkStart w:id="4" w:name="_Toc22866"/>
      <w:r>
        <w:rPr>
          <w:rFonts w:hint="default" w:ascii="Times New Roman" w:hAnsi="Times New Roman" w:eastAsia="黑体" w:cs="Times New Roman"/>
          <w:b w:val="0"/>
          <w:bCs/>
          <w:kern w:val="2"/>
          <w:sz w:val="28"/>
          <w:szCs w:val="28"/>
          <w:lang w:val="en-US" w:eastAsia="zh-CN" w:bidi="ar-SA"/>
        </w:rPr>
        <w:t>（</w:t>
      </w:r>
      <w:r>
        <w:rPr>
          <w:rFonts w:hint="eastAsia" w:ascii="Times New Roman" w:hAnsi="Times New Roman" w:eastAsia="黑体" w:cs="Times New Roman"/>
          <w:b w:val="0"/>
          <w:bCs/>
          <w:kern w:val="2"/>
          <w:sz w:val="28"/>
          <w:szCs w:val="28"/>
          <w:lang w:val="en-US" w:eastAsia="zh-CN" w:bidi="ar-SA"/>
        </w:rPr>
        <w:t>三</w:t>
      </w:r>
      <w:r>
        <w:rPr>
          <w:rFonts w:hint="default" w:ascii="Times New Roman" w:hAnsi="Times New Roman" w:eastAsia="黑体" w:cs="Times New Roman"/>
          <w:b w:val="0"/>
          <w:bCs/>
          <w:kern w:val="2"/>
          <w:sz w:val="28"/>
          <w:szCs w:val="28"/>
          <w:lang w:val="en-US" w:eastAsia="zh-CN" w:bidi="ar-SA"/>
        </w:rPr>
        <w:t>）驱动行业创新发展，加大科研与社会服务力度</w:t>
      </w:r>
      <w:bookmarkEnd w:id="4"/>
    </w:p>
    <w:p w14:paraId="1A1B1C99">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default" w:ascii="Times New Roman" w:hAnsi="Times New Roman" w:eastAsia="宋体" w:cs="Times New Roman"/>
          <w:color w:val="000000"/>
          <w:kern w:val="0"/>
          <w:sz w:val="24"/>
          <w:szCs w:val="24"/>
          <w:lang w:bidi="ar"/>
        </w:rPr>
        <w:t>学位点研究方向明确，在国内风</w:t>
      </w:r>
      <w:r>
        <w:rPr>
          <w:rFonts w:hint="eastAsia" w:ascii="宋体" w:hAnsi="宋体" w:eastAsia="宋体" w:cs="宋体"/>
          <w:color w:val="000000"/>
          <w:kern w:val="0"/>
          <w:sz w:val="24"/>
          <w:szCs w:val="24"/>
          <w:lang w:bidi="ar"/>
        </w:rPr>
        <w:t>景园林研究团队中</w:t>
      </w:r>
      <w:r>
        <w:rPr>
          <w:rFonts w:hint="eastAsia" w:ascii="宋体" w:hAnsi="宋体" w:eastAsia="宋体" w:cs="宋体"/>
          <w:color w:val="000000"/>
          <w:kern w:val="0"/>
          <w:sz w:val="24"/>
          <w:szCs w:val="24"/>
          <w:lang w:eastAsia="zh-CN" w:bidi="ar"/>
        </w:rPr>
        <w:t>具有</w:t>
      </w:r>
      <w:r>
        <w:rPr>
          <w:rFonts w:hint="eastAsia" w:ascii="宋体" w:hAnsi="宋体" w:eastAsia="宋体" w:cs="宋体"/>
          <w:color w:val="000000"/>
          <w:kern w:val="0"/>
          <w:sz w:val="24"/>
          <w:szCs w:val="24"/>
          <w:lang w:bidi="ar"/>
        </w:rPr>
        <w:t>较强竞争力和影响力。学位点科研项目数量增加，获批国家重点研发项目、国家自然科学基金项目等国家级课题3项、省部</w:t>
      </w:r>
      <w:r>
        <w:rPr>
          <w:rFonts w:hint="default" w:ascii="Times New Roman" w:hAnsi="Times New Roman" w:eastAsia="宋体" w:cs="Times New Roman"/>
          <w:color w:val="000000"/>
          <w:kern w:val="0"/>
          <w:sz w:val="24"/>
          <w:szCs w:val="24"/>
          <w:lang w:bidi="ar"/>
        </w:rPr>
        <w:t>级课题28项，发表高水平论文63篇，其中SCI收录23篇，出版《园林景观设计》等2部，授权发明专利5件，获批行业标准1项；师</w:t>
      </w:r>
      <w:r>
        <w:rPr>
          <w:rFonts w:hint="eastAsia" w:ascii="宋体" w:hAnsi="宋体" w:eastAsia="宋体" w:cs="宋体"/>
          <w:color w:val="000000"/>
          <w:kern w:val="0"/>
          <w:sz w:val="24"/>
          <w:szCs w:val="24"/>
          <w:lang w:bidi="ar"/>
        </w:rPr>
        <w:t>生团队积极服务于国家生态文明和绿色发展，主持长沙橘子洲景观提质改造、河北塞罕坝国家森林公园规划、古树名木保护等重大设计项目，社会服务案例入选全国专业学位教学案例库。</w:t>
      </w:r>
    </w:p>
    <w:p w14:paraId="0A246E6C">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560" w:firstLineChars="200"/>
        <w:jc w:val="both"/>
        <w:textAlignment w:val="auto"/>
        <w:outlineLvl w:val="1"/>
        <w:rPr>
          <w:rFonts w:hint="default" w:ascii="Times New Roman" w:hAnsi="Times New Roman" w:eastAsia="黑体" w:cs="Times New Roman"/>
          <w:b w:val="0"/>
          <w:bCs/>
          <w:kern w:val="2"/>
          <w:sz w:val="28"/>
          <w:szCs w:val="28"/>
          <w:lang w:val="en-US" w:eastAsia="zh-CN" w:bidi="ar-SA"/>
        </w:rPr>
      </w:pPr>
      <w:bookmarkStart w:id="5" w:name="_Toc18213"/>
      <w:r>
        <w:rPr>
          <w:rFonts w:hint="default" w:ascii="Times New Roman" w:hAnsi="Times New Roman" w:eastAsia="黑体" w:cs="Times New Roman"/>
          <w:b w:val="0"/>
          <w:bCs/>
          <w:kern w:val="2"/>
          <w:sz w:val="28"/>
          <w:szCs w:val="28"/>
          <w:lang w:val="en-US" w:eastAsia="zh-CN" w:bidi="ar-SA"/>
        </w:rPr>
        <w:t>（</w:t>
      </w:r>
      <w:r>
        <w:rPr>
          <w:rFonts w:hint="eastAsia" w:ascii="Times New Roman" w:hAnsi="Times New Roman" w:eastAsia="黑体" w:cs="Times New Roman"/>
          <w:b w:val="0"/>
          <w:bCs/>
          <w:kern w:val="2"/>
          <w:sz w:val="28"/>
          <w:szCs w:val="28"/>
          <w:lang w:val="en-US" w:eastAsia="zh-CN" w:bidi="ar-SA"/>
        </w:rPr>
        <w:t>四</w:t>
      </w:r>
      <w:r>
        <w:rPr>
          <w:rFonts w:hint="default" w:ascii="Times New Roman" w:hAnsi="Times New Roman" w:eastAsia="黑体" w:cs="Times New Roman"/>
          <w:b w:val="0"/>
          <w:bCs/>
          <w:kern w:val="2"/>
          <w:sz w:val="28"/>
          <w:szCs w:val="28"/>
          <w:lang w:val="en-US" w:eastAsia="zh-CN" w:bidi="ar-SA"/>
        </w:rPr>
        <w:t>）拓展学术网络，深化国际合作与交流</w:t>
      </w:r>
      <w:bookmarkEnd w:id="5"/>
    </w:p>
    <w:p w14:paraId="2B9B1472">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default" w:ascii="Times New Roman" w:hAnsi="Times New Roman" w:eastAsia="宋体" w:cs="Times New Roman"/>
          <w:color w:val="000000"/>
          <w:kern w:val="0"/>
          <w:sz w:val="24"/>
          <w:szCs w:val="24"/>
          <w:lang w:bidi="ar"/>
        </w:rPr>
        <w:t>注重培养师生的国际化视野，通过参赛、交流等多种方式提升师生的国际化专业素养。加强教育国际化理念，加深国内外学术合作与交流，与美国乔治亚大学、日本千叶大学等4所海外高校建立合作关系，与美国科罗拉多州立大学园艺与景观建筑系推进</w:t>
      </w:r>
      <w:r>
        <w:rPr>
          <w:rFonts w:hint="eastAsia" w:ascii="宋体" w:hAnsi="宋体" w:eastAsia="宋体" w:cs="宋体"/>
          <w:color w:val="000000"/>
          <w:kern w:val="0"/>
          <w:sz w:val="24"/>
          <w:szCs w:val="24"/>
          <w:lang w:bidi="ar"/>
        </w:rPr>
        <w:t>中外合作办学合作的进度。组织学位点研究生参与IFLA等风景园林设计竞赛，与企业联合获英国IAA伦敦设计奖金奖1项；邀请国内外知名学者担任学位点导师，并参与部分课程的讲授。本年度选派师生11人次参加国际学术会议，口头报告3人次。</w:t>
      </w:r>
    </w:p>
    <w:p w14:paraId="776C2DB5">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560" w:firstLineChars="200"/>
        <w:jc w:val="both"/>
        <w:textAlignment w:val="auto"/>
        <w:outlineLvl w:val="1"/>
        <w:rPr>
          <w:rFonts w:hint="eastAsia" w:ascii="Times New Roman" w:hAnsi="Times New Roman" w:eastAsia="黑体" w:cs="Times New Roman"/>
          <w:b w:val="0"/>
          <w:bCs/>
          <w:kern w:val="2"/>
          <w:sz w:val="28"/>
          <w:szCs w:val="28"/>
          <w:lang w:val="en-US" w:eastAsia="zh-CN" w:bidi="ar-SA"/>
        </w:rPr>
      </w:pPr>
      <w:bookmarkStart w:id="6" w:name="_Toc29690"/>
      <w:r>
        <w:rPr>
          <w:rFonts w:hint="default" w:ascii="Times New Roman" w:hAnsi="Times New Roman" w:eastAsia="黑体" w:cs="Times New Roman"/>
          <w:b w:val="0"/>
          <w:bCs/>
          <w:kern w:val="2"/>
          <w:sz w:val="28"/>
          <w:szCs w:val="28"/>
          <w:lang w:val="en-US" w:eastAsia="zh-CN" w:bidi="ar-SA"/>
        </w:rPr>
        <w:t>（</w:t>
      </w:r>
      <w:r>
        <w:rPr>
          <w:rFonts w:hint="eastAsia" w:ascii="Times New Roman" w:hAnsi="Times New Roman" w:eastAsia="黑体" w:cs="Times New Roman"/>
          <w:b w:val="0"/>
          <w:bCs/>
          <w:kern w:val="2"/>
          <w:sz w:val="28"/>
          <w:szCs w:val="28"/>
          <w:lang w:val="en-US" w:eastAsia="zh-CN" w:bidi="ar-SA"/>
        </w:rPr>
        <w:t>五</w:t>
      </w:r>
      <w:r>
        <w:rPr>
          <w:rFonts w:hint="default" w:ascii="Times New Roman" w:hAnsi="Times New Roman" w:eastAsia="黑体" w:cs="Times New Roman"/>
          <w:b w:val="0"/>
          <w:bCs/>
          <w:kern w:val="2"/>
          <w:sz w:val="28"/>
          <w:szCs w:val="28"/>
          <w:lang w:val="en-US" w:eastAsia="zh-CN" w:bidi="ar-SA"/>
        </w:rPr>
        <w:t>）守护园林文化遗产，聚焦</w:t>
      </w:r>
      <w:r>
        <w:rPr>
          <w:rFonts w:hint="eastAsia" w:ascii="Times New Roman" w:hAnsi="Times New Roman" w:eastAsia="黑体" w:cs="Times New Roman"/>
          <w:b w:val="0"/>
          <w:bCs/>
          <w:kern w:val="2"/>
          <w:sz w:val="28"/>
          <w:szCs w:val="28"/>
          <w:lang w:val="en-US" w:eastAsia="zh-CN" w:bidi="ar-SA"/>
        </w:rPr>
        <w:t>风景园林文化传承</w:t>
      </w:r>
      <w:bookmarkEnd w:id="6"/>
    </w:p>
    <w:p w14:paraId="3019F78D">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kern w:val="0"/>
          <w:sz w:val="24"/>
          <w:szCs w:val="24"/>
          <w:lang w:bidi="ar"/>
        </w:rPr>
      </w:pPr>
      <w:r>
        <w:rPr>
          <w:rFonts w:hint="eastAsia" w:ascii="宋体" w:hAnsi="宋体" w:eastAsia="宋体" w:cs="宋体"/>
          <w:color w:val="000000"/>
          <w:kern w:val="0"/>
          <w:sz w:val="24"/>
          <w:szCs w:val="24"/>
          <w:lang w:bidi="ar"/>
        </w:rPr>
        <w:t>继续开展“园林漫谈”等品牌特色活动，聚焦传统园林智慧现代转译，开展“中国园林跨文化传播时空特征”、“传统村落及遗产保护”等特色研究，师生团队深度参与长沙橘子洲景观提质项目，传承红色文化和特色园林项目。经过持续建设，本学位点已形成"行业嵌入度深、文化传承性强"的办学特色，成为中南地区风景园林高层次人才培养的重要基地，为新型城镇化与生态文明建设提供强有力的人才与智力支撑，突出的专业优势和鲜明的办学特色得到国内外同行的高</w:t>
      </w:r>
      <w:r>
        <w:rPr>
          <w:rFonts w:hint="default" w:ascii="Times New Roman" w:hAnsi="Times New Roman" w:eastAsia="宋体" w:cs="Times New Roman"/>
          <w:color w:val="000000"/>
          <w:kern w:val="0"/>
          <w:sz w:val="24"/>
          <w:szCs w:val="24"/>
          <w:lang w:bidi="ar"/>
        </w:rPr>
        <w:t>度评价和认同，在风景园林人才培养、科学研究、服务社会、促进区域经济建设等方面发挥着重要作用。</w:t>
      </w:r>
    </w:p>
    <w:p w14:paraId="2175CAE0">
      <w:pPr>
        <w:pStyle w:val="3"/>
        <w:keepNext w:val="0"/>
        <w:keepLines w:val="0"/>
        <w:pageBreakBefore w:val="0"/>
        <w:widowControl w:val="0"/>
        <w:kinsoku/>
        <w:wordWrap/>
        <w:overflowPunct w:val="0"/>
        <w:topLinePunct w:val="0"/>
        <w:autoSpaceDE/>
        <w:autoSpaceDN/>
        <w:bidi w:val="0"/>
        <w:adjustRightInd/>
        <w:snapToGrid w:val="0"/>
        <w:spacing w:before="0" w:beforeLines="0" w:after="0" w:afterLines="0" w:line="360" w:lineRule="auto"/>
        <w:ind w:left="0" w:leftChars="0" w:right="0" w:rightChars="0"/>
        <w:jc w:val="left"/>
        <w:textAlignment w:val="auto"/>
        <w:rPr>
          <w:rFonts w:hint="default" w:ascii="Times New Roman" w:hAnsi="Times New Roman" w:eastAsia="黑体" w:cs="Times New Roman"/>
          <w:b w:val="0"/>
          <w:bCs/>
          <w:sz w:val="32"/>
          <w:szCs w:val="32"/>
        </w:rPr>
      </w:pPr>
      <w:bookmarkStart w:id="7" w:name="_Toc9723"/>
      <w:r>
        <w:rPr>
          <w:rFonts w:hint="default" w:ascii="Times New Roman" w:hAnsi="Times New Roman" w:eastAsia="黑体" w:cs="Times New Roman"/>
          <w:b w:val="0"/>
          <w:bCs/>
          <w:sz w:val="32"/>
          <w:szCs w:val="32"/>
        </w:rPr>
        <w:t>二、本学位授权点建设情况</w:t>
      </w:r>
      <w:bookmarkEnd w:id="7"/>
    </w:p>
    <w:p w14:paraId="41D3C75B">
      <w:pPr>
        <w:pStyle w:val="4"/>
        <w:keepNext w:val="0"/>
        <w:keepLines w:val="0"/>
        <w:pageBreakBefore w:val="0"/>
        <w:widowControl w:val="0"/>
        <w:kinsoku/>
        <w:wordWrap/>
        <w:overflowPunct w:val="0"/>
        <w:topLinePunct w:val="0"/>
        <w:autoSpaceDE/>
        <w:autoSpaceDN/>
        <w:bidi w:val="0"/>
        <w:adjustRightInd/>
        <w:snapToGrid w:val="0"/>
        <w:spacing w:line="360" w:lineRule="auto"/>
        <w:ind w:left="0" w:leftChars="0" w:right="0" w:rightChars="0" w:firstLine="560" w:firstLineChars="200"/>
        <w:jc w:val="left"/>
        <w:textAlignment w:val="auto"/>
        <w:rPr>
          <w:rFonts w:hint="default" w:ascii="Times New Roman" w:hAnsi="Times New Roman" w:eastAsia="黑体" w:cs="Times New Roman"/>
          <w:b w:val="0"/>
          <w:bCs/>
          <w:sz w:val="28"/>
          <w:szCs w:val="28"/>
          <w:lang w:val="en-US" w:eastAsia="zh-CN"/>
        </w:rPr>
      </w:pPr>
      <w:bookmarkStart w:id="8" w:name="_Toc21545"/>
      <w:r>
        <w:rPr>
          <w:rFonts w:hint="default" w:ascii="Times New Roman" w:hAnsi="Times New Roman" w:cs="Times New Roman"/>
          <w:b w:val="0"/>
          <w:bCs/>
          <w:sz w:val="28"/>
          <w:szCs w:val="28"/>
          <w:lang w:eastAsia="zh-CN"/>
        </w:rPr>
        <w:t>（</w:t>
      </w:r>
      <w:r>
        <w:rPr>
          <w:rFonts w:hint="default" w:ascii="Times New Roman" w:hAnsi="Times New Roman" w:cs="Times New Roman"/>
          <w:b w:val="0"/>
          <w:bCs/>
          <w:sz w:val="28"/>
          <w:szCs w:val="28"/>
          <w:lang w:val="en-US" w:eastAsia="zh-CN"/>
        </w:rPr>
        <w:t>一</w:t>
      </w:r>
      <w:r>
        <w:rPr>
          <w:rFonts w:hint="default" w:ascii="Times New Roman" w:hAnsi="Times New Roman" w:cs="Times New Roman"/>
          <w:b w:val="0"/>
          <w:bCs/>
          <w:sz w:val="28"/>
          <w:szCs w:val="28"/>
          <w:lang w:eastAsia="zh-CN"/>
        </w:rPr>
        <w:t>）</w:t>
      </w:r>
      <w:r>
        <w:rPr>
          <w:rFonts w:hint="default" w:ascii="Times New Roman" w:hAnsi="Times New Roman" w:eastAsia="黑体" w:cs="Times New Roman"/>
          <w:b w:val="0"/>
          <w:bCs/>
          <w:sz w:val="28"/>
          <w:szCs w:val="28"/>
          <w:lang w:val="en-US" w:eastAsia="zh-CN"/>
        </w:rPr>
        <w:t>人才培养</w:t>
      </w:r>
      <w:bookmarkEnd w:id="8"/>
    </w:p>
    <w:p w14:paraId="0D3CC97D">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firstLine="480" w:firstLineChars="200"/>
        <w:jc w:val="left"/>
        <w:textAlignment w:val="auto"/>
        <w:outlineLvl w:val="2"/>
        <w:rPr>
          <w:rFonts w:hint="default" w:ascii="Times New Roman" w:hAnsi="Times New Roman" w:eastAsia="黑体" w:cs="Times New Roman"/>
          <w:b w:val="0"/>
          <w:bCs/>
          <w:kern w:val="2"/>
          <w:sz w:val="28"/>
          <w:szCs w:val="28"/>
          <w:lang w:val="en-US" w:eastAsia="zh-CN" w:bidi="ar-SA"/>
        </w:rPr>
      </w:pPr>
      <w:r>
        <w:rPr>
          <w:rStyle w:val="27"/>
          <w:rFonts w:hint="default" w:ascii="Times New Roman" w:hAnsi="Times New Roman" w:eastAsia="黑体" w:cs="Times New Roman"/>
          <w:b w:val="0"/>
          <w:bCs/>
          <w:sz w:val="24"/>
          <w:szCs w:val="24"/>
          <w:lang w:val="en-US" w:eastAsia="zh-CN"/>
        </w:rPr>
        <w:t>1.思想政治教育特色与成效</w:t>
      </w:r>
      <w:r>
        <w:rPr>
          <w:rStyle w:val="27"/>
          <w:rFonts w:hint="default" w:ascii="Times New Roman" w:hAnsi="Times New Roman" w:cs="Times New Roman" w:eastAsiaTheme="majorEastAsia"/>
          <w:b w:val="0"/>
          <w:bCs/>
          <w:sz w:val="24"/>
          <w:szCs w:val="24"/>
          <w:lang w:val="en-US" w:eastAsia="zh-CN"/>
        </w:rPr>
        <w:t xml:space="preserve">  </w:t>
      </w:r>
      <w:r>
        <w:rPr>
          <w:rFonts w:hint="default" w:ascii="Times New Roman" w:hAnsi="Times New Roman" w:eastAsia="黑体" w:cs="Times New Roman"/>
          <w:b w:val="0"/>
          <w:bCs/>
          <w:kern w:val="2"/>
          <w:sz w:val="28"/>
          <w:szCs w:val="28"/>
          <w:lang w:val="en-US" w:eastAsia="zh-CN" w:bidi="ar-SA"/>
        </w:rPr>
        <w:t xml:space="preserve">   </w:t>
      </w:r>
    </w:p>
    <w:p w14:paraId="5743115D">
      <w:pPr>
        <w:pStyle w:val="5"/>
        <w:keepNext w:val="0"/>
        <w:keepLines w:val="0"/>
        <w:pageBreakBefore w:val="0"/>
        <w:widowControl w:val="0"/>
        <w:kinsoku/>
        <w:wordWrap/>
        <w:overflowPunct w:val="0"/>
        <w:topLinePunct w:val="0"/>
        <w:autoSpaceDE/>
        <w:autoSpaceDN/>
        <w:bidi w:val="0"/>
        <w:adjustRightInd/>
        <w:snapToGrid w:val="0"/>
        <w:spacing w:before="0" w:beforeLines="0" w:after="0" w:afterLines="0" w:line="360" w:lineRule="auto"/>
        <w:ind w:left="0" w:leftChars="0" w:right="0" w:rightChars="0"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（1）特色</w:t>
      </w:r>
    </w:p>
    <w:p w14:paraId="42B97A03">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default" w:ascii="Times New Roman" w:hAnsi="Times New Roman" w:eastAsia="宋体" w:cs="Times New Roman"/>
          <w:color w:val="000000"/>
          <w:kern w:val="0"/>
          <w:sz w:val="24"/>
          <w:szCs w:val="24"/>
          <w:lang w:bidi="ar"/>
        </w:rPr>
        <w:t>以习近平新时代中国特色社会主义思想为指导，深入贯彻党的二十大精神，</w:t>
      </w:r>
      <w:r>
        <w:rPr>
          <w:rFonts w:hint="eastAsia" w:ascii="宋体" w:hAnsi="宋体" w:eastAsia="宋体" w:cs="宋体"/>
          <w:color w:val="000000"/>
          <w:kern w:val="0"/>
          <w:sz w:val="24"/>
          <w:szCs w:val="24"/>
          <w:lang w:bidi="ar"/>
        </w:rPr>
        <w:t>全面落实新时代高校思政建设总要求，在“三全育人”综合改革方面深入实践。以社会主义核心价值观为引领，强化“课程思政”建设，落实立德树人根本任务。围绕农林院校特色，将思想政治教育贯穿人才培养全过程，强化学生爱国情怀，构建以思政课程为引领，以通识课、专业课、实践课为依托，涵盖中华优秀传统文化、哲学社会科学、创新创业教育等全要素的课程思政体系，引导学生追求“人与自然和谐发展”，厚植爱国主义情怀。以学科负责人为第一责任人，以党支部为堡垒，以任课教师为主体，以全体教师开展课程思政改革和教学团队建设等措施为纽带，配备专职辅导员和心理辅导老师，构成了完整的“全员育人”思想政治队伍，不断强化育人团队素质建设。</w:t>
      </w:r>
    </w:p>
    <w:p w14:paraId="41973681">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强化基层党组织建设，以支部建设助力教研融合，以创建学习型、服务型党支部为抓手，落实“三会一课”等组织生活制度，夯实党建工作基础，科学优化党支部设置，发挥党建示范带动辐射作用。丰富专业实践活动，以专业特色培养实用风景园林人才，打造全方位实践育人体系，以平台为依托推进实践育人，与多家相关企业签订了实践教学基地协议，结合实践教学基地相关科研现场实际需要，引领学生理解新时代背景下风景园林领域工作者的使命与挑战。抓好文化建设、社会实践和活动管理，保证理想信念教育广覆盖、深嵌。</w:t>
      </w:r>
    </w:p>
    <w:p w14:paraId="4915AA89">
      <w:pPr>
        <w:pStyle w:val="5"/>
        <w:keepNext w:val="0"/>
        <w:keepLines w:val="0"/>
        <w:pageBreakBefore w:val="0"/>
        <w:widowControl w:val="0"/>
        <w:kinsoku/>
        <w:wordWrap/>
        <w:overflowPunct w:val="0"/>
        <w:topLinePunct w:val="0"/>
        <w:autoSpaceDE/>
        <w:autoSpaceDN/>
        <w:bidi w:val="0"/>
        <w:adjustRightInd/>
        <w:snapToGrid w:val="0"/>
        <w:spacing w:before="0" w:beforeLines="0" w:after="0" w:afterLines="0" w:line="360" w:lineRule="auto"/>
        <w:ind w:left="0" w:leftChars="0" w:right="0" w:rightChars="0"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（2）成效</w:t>
      </w:r>
    </w:p>
    <w:p w14:paraId="27779294">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kern w:val="0"/>
          <w:sz w:val="24"/>
          <w:szCs w:val="24"/>
          <w:lang w:bidi="ar"/>
        </w:rPr>
      </w:pPr>
      <w:r>
        <w:rPr>
          <w:rFonts w:hint="eastAsia" w:ascii="宋体" w:hAnsi="宋体" w:eastAsia="宋体" w:cs="宋体"/>
          <w:color w:val="000000"/>
          <w:kern w:val="0"/>
          <w:sz w:val="24"/>
          <w:szCs w:val="24"/>
          <w:lang w:bidi="ar"/>
        </w:rPr>
        <w:t>推进“三全育人”工作，以组织建设为保障，实施教师育德能力专项提升工程，扎实推进分层、分类和分阶段培训体系建设，推动实现党建、思政与其他中心工作同频共振，取得优异成效。在校研究生</w:t>
      </w:r>
      <w:r>
        <w:rPr>
          <w:rFonts w:hint="default" w:ascii="Times New Roman" w:hAnsi="Times New Roman" w:eastAsia="宋体" w:cs="Times New Roman"/>
          <w:color w:val="000000"/>
          <w:kern w:val="0"/>
          <w:sz w:val="24"/>
          <w:szCs w:val="24"/>
          <w:lang w:bidi="ar"/>
        </w:rPr>
        <w:t>入党意愿显著提高，学生中党员和入党积极分子占比达到98%。思政队伍能力显著提升。2024年</w:t>
      </w:r>
      <w:r>
        <w:rPr>
          <w:rFonts w:hint="eastAsia" w:ascii="宋体" w:hAnsi="宋体" w:eastAsia="宋体" w:cs="宋体"/>
          <w:color w:val="000000"/>
          <w:kern w:val="0"/>
          <w:sz w:val="24"/>
          <w:szCs w:val="24"/>
          <w:lang w:bidi="ar"/>
        </w:rPr>
        <w:t>获评湖南省辅导员年度人物称号，暑期“三下乡”省级示范团</w:t>
      </w:r>
      <w:r>
        <w:rPr>
          <w:rFonts w:hint="default" w:ascii="Times New Roman" w:hAnsi="Times New Roman" w:eastAsia="宋体" w:cs="Times New Roman"/>
          <w:color w:val="000000"/>
          <w:kern w:val="0"/>
          <w:sz w:val="24"/>
          <w:szCs w:val="24"/>
          <w:lang w:bidi="ar"/>
        </w:rPr>
        <w:t>队1支，优秀团队5支。5人获得国家奖学金，169人获得学业奖学金，4人获得研究生优秀个人，9人获得优秀研究生干部，10人获得优秀毕业生。</w:t>
      </w:r>
    </w:p>
    <w:p w14:paraId="416C51FE">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firstLine="480" w:firstLineChars="200"/>
        <w:jc w:val="left"/>
        <w:textAlignment w:val="auto"/>
        <w:outlineLvl w:val="2"/>
        <w:rPr>
          <w:rStyle w:val="27"/>
          <w:rFonts w:hint="default" w:ascii="Times New Roman" w:hAnsi="Times New Roman" w:eastAsia="黑体" w:cs="Times New Roman"/>
          <w:b w:val="0"/>
          <w:bCs/>
          <w:sz w:val="24"/>
          <w:szCs w:val="24"/>
          <w:lang w:val="en-US" w:eastAsia="zh-CN"/>
        </w:rPr>
      </w:pPr>
      <w:r>
        <w:rPr>
          <w:rStyle w:val="27"/>
          <w:rFonts w:hint="default" w:ascii="Times New Roman" w:hAnsi="Times New Roman" w:eastAsia="黑体" w:cs="Times New Roman"/>
          <w:b w:val="0"/>
          <w:bCs/>
          <w:sz w:val="24"/>
          <w:szCs w:val="24"/>
          <w:lang w:val="en-US" w:eastAsia="zh-CN"/>
        </w:rPr>
        <w:t>2.培养过程</w:t>
      </w:r>
    </w:p>
    <w:p w14:paraId="2370FF6F">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本学位点按照全国风景园林专业指导委员会最新发布的指导性方案制订了培养方案（0862）</w:t>
      </w:r>
      <w:r>
        <w:rPr>
          <w:rFonts w:hint="eastAsia" w:ascii="宋体" w:hAnsi="宋体" w:eastAsia="宋体" w:cs="宋体"/>
          <w:color w:val="000000"/>
          <w:kern w:val="0"/>
          <w:sz w:val="24"/>
          <w:szCs w:val="24"/>
          <w:lang w:bidi="ar"/>
        </w:rPr>
        <w:t>，秉承</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夯实基础、突出特色、激发创新</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的培养理念，结合社会发展趋势与风景行业人才需求，科学定位人才培养目标，构建了特色化课程体系，</w:t>
      </w:r>
      <w:r>
        <w:rPr>
          <w:rFonts w:hint="default" w:ascii="Times New Roman" w:hAnsi="Times New Roman" w:eastAsia="宋体" w:cs="Times New Roman"/>
          <w:color w:val="000000"/>
          <w:kern w:val="0"/>
          <w:sz w:val="24"/>
          <w:szCs w:val="24"/>
          <w:lang w:bidi="ar"/>
        </w:rPr>
        <w:t>强化学生的动手能力及分析、解决问题的能力，使理论与实践结合更加紧密。</w:t>
      </w:r>
    </w:p>
    <w:p w14:paraId="59FF481C">
      <w:pPr>
        <w:pStyle w:val="5"/>
        <w:keepNext w:val="0"/>
        <w:keepLines w:val="0"/>
        <w:pageBreakBefore w:val="0"/>
        <w:widowControl w:val="0"/>
        <w:kinsoku/>
        <w:wordWrap/>
        <w:overflowPunct w:val="0"/>
        <w:topLinePunct w:val="0"/>
        <w:autoSpaceDE/>
        <w:autoSpaceDN/>
        <w:bidi w:val="0"/>
        <w:adjustRightInd/>
        <w:snapToGrid w:val="0"/>
        <w:spacing w:before="0" w:beforeLines="0" w:after="0" w:afterLines="0" w:line="360" w:lineRule="auto"/>
        <w:ind w:left="0" w:leftChars="0" w:right="0" w:rightChars="0"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（1）课程设置</w:t>
      </w:r>
    </w:p>
    <w:p w14:paraId="736D14B3">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default" w:ascii="Times New Roman" w:hAnsi="Times New Roman" w:eastAsia="宋体" w:cs="Times New Roman"/>
          <w:color w:val="000000"/>
          <w:kern w:val="0"/>
          <w:sz w:val="24"/>
          <w:szCs w:val="24"/>
          <w:lang w:bidi="ar"/>
        </w:rPr>
        <w:t>课程设置有公共课、专业学位课、专业选修课和实践环节共32学分，其中实践环节10学分。从专业</w:t>
      </w:r>
      <w:r>
        <w:rPr>
          <w:rFonts w:hint="eastAsia" w:ascii="宋体" w:hAnsi="宋体" w:eastAsia="宋体" w:cs="宋体"/>
          <w:color w:val="000000"/>
          <w:kern w:val="0"/>
          <w:sz w:val="24"/>
          <w:szCs w:val="24"/>
          <w:lang w:bidi="ar"/>
        </w:rPr>
        <w:t>素养建构、创新能力培育、职业胜任力提升等方面，开设风景园林前沿课程，让研究生掌握前沿风景园林理论与方法，精通从概念设计到工程实施的技术，培养创新思维，通过理论实践深度融合的培养路径，着力造就具有国际视野、创新能力和工匠精神的新时代风景园林专业人才。</w:t>
      </w:r>
    </w:p>
    <w:p w14:paraId="25CFFEBA">
      <w:pPr>
        <w:rPr>
          <w:rFonts w:hint="eastAsia"/>
        </w:rPr>
      </w:pPr>
    </w:p>
    <w:p w14:paraId="231D6B72">
      <w:pPr>
        <w:pStyle w:val="5"/>
        <w:keepNext w:val="0"/>
        <w:keepLines w:val="0"/>
        <w:pageBreakBefore w:val="0"/>
        <w:widowControl w:val="0"/>
        <w:kinsoku/>
        <w:wordWrap/>
        <w:overflowPunct w:val="0"/>
        <w:topLinePunct w:val="0"/>
        <w:autoSpaceDE/>
        <w:autoSpaceDN/>
        <w:bidi w:val="0"/>
        <w:adjustRightInd/>
        <w:snapToGrid w:val="0"/>
        <w:spacing w:before="0" w:beforeLines="0" w:after="0" w:afterLines="0" w:line="360" w:lineRule="auto"/>
        <w:ind w:left="0" w:leftChars="0" w:right="0" w:rightChars="0"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（2）教学过程</w:t>
      </w:r>
    </w:p>
    <w:p w14:paraId="4A0BD46D">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本学位点构建“制度保障-模式创新-平台支撑”三位一体的教学运行机制，形成具有风景园林学科特色的教学实施路径。按照课程大纲对教学进度的严格把控，同时不断更新教学内容，教学过程稳定有序，课程考核明确规范，鼓励教师运用研讨式、启发式、调研式、案例式等方法，激发学生学习兴趣，夯实学习成效。</w:t>
      </w:r>
    </w:p>
    <w:p w14:paraId="31287404">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继续推行设计工作室模式、企业实践模式、设计竞赛模式和社会课堂模式。设计工作室由导师带领学生参与实际项目，重点培养学生的设计与实践能力，从项目的创意构</w:t>
      </w:r>
      <w:r>
        <w:rPr>
          <w:rFonts w:hint="default" w:ascii="Times New Roman" w:hAnsi="Times New Roman" w:eastAsia="宋体" w:cs="Times New Roman"/>
          <w:color w:val="000000"/>
          <w:kern w:val="0"/>
          <w:sz w:val="24"/>
          <w:szCs w:val="24"/>
          <w:lang w:bidi="ar"/>
        </w:rPr>
        <w:t>思、方案设计到实施，学生全程参与，培养了团队协作精神和解决实际问题的能力，师生共同承担风景园林规划设计、乡村振兴等实际项目28项。学位点依托研究生联合培养基地，为研究生提供实践平台，将所学知识与实际工作紧密结合。鼓励学生参与各类设计竞赛，结合竞赛提高动手能力，训练设计思维创新。将IFLA竞赛、中国风景园林学会设计竞赛等</w:t>
      </w:r>
      <w:r>
        <w:rPr>
          <w:rFonts w:hint="eastAsia" w:ascii="宋体" w:hAnsi="宋体" w:eastAsia="宋体" w:cs="宋体"/>
          <w:color w:val="000000"/>
          <w:kern w:val="0"/>
          <w:sz w:val="24"/>
          <w:szCs w:val="24"/>
          <w:lang w:bidi="ar"/>
        </w:rPr>
        <w:t>行业重要赛事纳入课程模块，先后组织研究生参加了全国风景园林专业指导委员会等多个国内外设计竞赛，并获得奖项。组织研究生走进风景名胜区、文化遗址等社会场所开展教学活动，对专业知识有更深刻理解。</w:t>
      </w:r>
    </w:p>
    <w:p w14:paraId="5D122595">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学位点实行双导师制，由校内外导师共同制定培养计划和学习内容，企业导师全程参与毕业设计指导与职业规划。定期举办各类论坛及讲座，与上海辰山植物园、湖南省建筑设计院等23家单位建立战略合作，开发“企业课堂”特色课程，邀请国内外知名专家参与课堂，实施“行业导师进课堂”，扩大学位点影响力，拓宽学生眼界，促进校企合作。</w:t>
      </w:r>
    </w:p>
    <w:p w14:paraId="3E7D19C7">
      <w:pPr>
        <w:pStyle w:val="5"/>
        <w:keepNext w:val="0"/>
        <w:keepLines w:val="0"/>
        <w:pageBreakBefore w:val="0"/>
        <w:widowControl w:val="0"/>
        <w:kinsoku/>
        <w:wordWrap/>
        <w:overflowPunct w:val="0"/>
        <w:topLinePunct w:val="0"/>
        <w:autoSpaceDE/>
        <w:autoSpaceDN/>
        <w:bidi w:val="0"/>
        <w:adjustRightInd/>
        <w:snapToGrid w:val="0"/>
        <w:spacing w:before="0" w:beforeLines="0" w:after="0" w:afterLines="0" w:line="360" w:lineRule="auto"/>
        <w:ind w:left="0" w:leftChars="0" w:right="0" w:rightChars="0"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（3）教学改革</w:t>
      </w:r>
    </w:p>
    <w:p w14:paraId="6C1B6E5B">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default" w:ascii="Times New Roman" w:hAnsi="Times New Roman" w:eastAsia="宋体" w:cs="Times New Roman"/>
          <w:color w:val="000000"/>
          <w:kern w:val="0"/>
          <w:sz w:val="24"/>
          <w:szCs w:val="24"/>
          <w:lang w:bidi="ar"/>
        </w:rPr>
        <w:t>本学位点深度对接生态文明</w:t>
      </w:r>
      <w:r>
        <w:rPr>
          <w:rFonts w:hint="eastAsia" w:ascii="宋体" w:hAnsi="宋体" w:eastAsia="宋体" w:cs="宋体"/>
          <w:color w:val="000000"/>
          <w:kern w:val="0"/>
          <w:sz w:val="24"/>
          <w:szCs w:val="24"/>
          <w:lang w:bidi="ar"/>
        </w:rPr>
        <w:t>建设、公园城市营建、乡村振兴战略及绿色发展需求，通过以人才培养方案迭代更新为引领、以交叉学科课程体系重构为核心、以数字化教学内容优化为抓手、以教学方法创新实践为突破，全面推进教育教学转型升级。</w:t>
      </w:r>
    </w:p>
    <w:p w14:paraId="67D10423">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b/>
          <w:color w:val="000000"/>
          <w:szCs w:val="21"/>
        </w:rPr>
      </w:pPr>
      <w:r>
        <w:rPr>
          <w:rFonts w:hint="eastAsia" w:ascii="宋体" w:hAnsi="宋体" w:eastAsia="宋体" w:cs="宋体"/>
          <w:color w:val="000000"/>
          <w:kern w:val="0"/>
          <w:sz w:val="24"/>
          <w:szCs w:val="24"/>
          <w:lang w:bidi="ar"/>
        </w:rPr>
        <w:t>教学团队创新教学理念与模式，构建“线上+线下+实践”三维教学空间，通过“名师引领、团队协作、资源共享”机制，建成覆盖专业核心课程的精品化、特色化教学矩阵，形成具有示范效应</w:t>
      </w:r>
      <w:r>
        <w:rPr>
          <w:rFonts w:hint="default" w:ascii="Times New Roman" w:hAnsi="Times New Roman" w:eastAsia="宋体" w:cs="Times New Roman"/>
          <w:color w:val="000000"/>
          <w:kern w:val="0"/>
          <w:sz w:val="24"/>
          <w:szCs w:val="24"/>
          <w:lang w:bidi="ar"/>
        </w:rPr>
        <w:t>的教学改革成果。2024年成果显著，课程建设方面，获评省级精品示范课程1门、校级课程思政示范课程2门；教学竞</w:t>
      </w:r>
      <w:r>
        <w:rPr>
          <w:rFonts w:hint="eastAsia" w:ascii="宋体" w:hAnsi="宋体" w:eastAsia="宋体" w:cs="宋体"/>
          <w:color w:val="000000"/>
          <w:kern w:val="0"/>
          <w:sz w:val="24"/>
          <w:szCs w:val="24"/>
          <w:lang w:bidi="ar"/>
        </w:rPr>
        <w:t>赛方面，斩获省级研究生</w:t>
      </w:r>
      <w:r>
        <w:rPr>
          <w:rFonts w:hint="default" w:ascii="Times New Roman" w:hAnsi="Times New Roman" w:eastAsia="宋体" w:cs="Times New Roman"/>
          <w:color w:val="000000"/>
          <w:kern w:val="0"/>
          <w:sz w:val="24"/>
          <w:szCs w:val="24"/>
          <w:lang w:bidi="ar"/>
        </w:rPr>
        <w:t>课程思政教学比赛二等奖1项，校级教师教学创新大赛一等奖3项、二等奖1项、三等奖2项；案例教学方面，入库教学案例1项；教材方面，出版教材2部；发表学院研究生教育相关教改论文3篇。</w:t>
      </w:r>
    </w:p>
    <w:p w14:paraId="1EB37683">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jc w:val="center"/>
        <w:textAlignment w:val="auto"/>
        <w:rPr>
          <w:rFonts w:ascii="Times New Roman" w:hAnsi="Times New Roman" w:cs="Times New Roman" w:eastAsiaTheme="majorEastAsia"/>
          <w:b/>
          <w:color w:val="000000"/>
          <w:szCs w:val="21"/>
          <w:highlight w:val="yellow"/>
        </w:rPr>
      </w:pPr>
      <w:r>
        <w:rPr>
          <w:rFonts w:hint="eastAsia" w:ascii="宋体" w:hAnsi="宋体" w:eastAsia="宋体" w:cs="宋体"/>
          <w:b/>
          <w:color w:val="000000"/>
          <w:szCs w:val="21"/>
        </w:rPr>
        <w:t xml:space="preserve">表1 出版教材  </w:t>
      </w:r>
      <w:r>
        <w:rPr>
          <w:rFonts w:ascii="Times New Roman" w:hAnsi="Times New Roman" w:cs="Times New Roman" w:eastAsiaTheme="majorEastAsia"/>
          <w:b/>
          <w:color w:val="000000"/>
          <w:szCs w:val="21"/>
        </w:rPr>
        <w:t xml:space="preserve"> </w:t>
      </w:r>
    </w:p>
    <w:tbl>
      <w:tblPr>
        <w:tblStyle w:val="12"/>
        <w:tblW w:w="84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82"/>
        <w:gridCol w:w="1134"/>
        <w:gridCol w:w="850"/>
        <w:gridCol w:w="1134"/>
        <w:gridCol w:w="2072"/>
        <w:gridCol w:w="1050"/>
      </w:tblGrid>
      <w:tr w14:paraId="0C3CCA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jc w:val="center"/>
        </w:trPr>
        <w:tc>
          <w:tcPr>
            <w:tcW w:w="2182" w:type="dxa"/>
            <w:vAlign w:val="center"/>
          </w:tcPr>
          <w:p w14:paraId="741ED889">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教材名称</w:t>
            </w:r>
          </w:p>
        </w:tc>
        <w:tc>
          <w:tcPr>
            <w:tcW w:w="1134" w:type="dxa"/>
            <w:vAlign w:val="center"/>
          </w:tcPr>
          <w:p w14:paraId="791122F3">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主要作者</w:t>
            </w:r>
          </w:p>
        </w:tc>
        <w:tc>
          <w:tcPr>
            <w:tcW w:w="850" w:type="dxa"/>
            <w:vAlign w:val="center"/>
          </w:tcPr>
          <w:p w14:paraId="12B3550D">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署名</w:t>
            </w:r>
          </w:p>
          <w:p w14:paraId="7F0C9D3B">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情况</w:t>
            </w:r>
          </w:p>
        </w:tc>
        <w:tc>
          <w:tcPr>
            <w:tcW w:w="1134" w:type="dxa"/>
            <w:vAlign w:val="center"/>
          </w:tcPr>
          <w:p w14:paraId="6EB5EA07">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出版时间</w:t>
            </w:r>
          </w:p>
        </w:tc>
        <w:tc>
          <w:tcPr>
            <w:tcW w:w="2072" w:type="dxa"/>
            <w:vAlign w:val="center"/>
          </w:tcPr>
          <w:p w14:paraId="211B913A">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出版社</w:t>
            </w:r>
          </w:p>
        </w:tc>
        <w:tc>
          <w:tcPr>
            <w:tcW w:w="1050" w:type="dxa"/>
            <w:vAlign w:val="center"/>
          </w:tcPr>
          <w:p w14:paraId="0A0DDB25">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版次</w:t>
            </w:r>
          </w:p>
        </w:tc>
      </w:tr>
      <w:tr w14:paraId="1A45E5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8" w:hRule="atLeast"/>
          <w:jc w:val="center"/>
        </w:trPr>
        <w:tc>
          <w:tcPr>
            <w:tcW w:w="2182" w:type="dxa"/>
            <w:vAlign w:val="center"/>
          </w:tcPr>
          <w:p w14:paraId="278F84BB">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园林景观设计</w:t>
            </w:r>
          </w:p>
        </w:tc>
        <w:tc>
          <w:tcPr>
            <w:tcW w:w="1134" w:type="dxa"/>
            <w:vAlign w:val="center"/>
          </w:tcPr>
          <w:p w14:paraId="47E3C66F">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张旻桓等</w:t>
            </w:r>
          </w:p>
        </w:tc>
        <w:tc>
          <w:tcPr>
            <w:tcW w:w="850" w:type="dxa"/>
            <w:vAlign w:val="center"/>
          </w:tcPr>
          <w:p w14:paraId="08407BA0">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主编</w:t>
            </w:r>
          </w:p>
        </w:tc>
        <w:tc>
          <w:tcPr>
            <w:tcW w:w="1134" w:type="dxa"/>
            <w:vAlign w:val="center"/>
          </w:tcPr>
          <w:p w14:paraId="2CD360CC">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202411</w:t>
            </w:r>
          </w:p>
        </w:tc>
        <w:tc>
          <w:tcPr>
            <w:tcW w:w="2072" w:type="dxa"/>
            <w:vAlign w:val="center"/>
          </w:tcPr>
          <w:p w14:paraId="44354A60">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中国轻工业出版社</w:t>
            </w:r>
          </w:p>
        </w:tc>
        <w:tc>
          <w:tcPr>
            <w:tcW w:w="1050" w:type="dxa"/>
            <w:vAlign w:val="center"/>
          </w:tcPr>
          <w:p w14:paraId="4B731DAA">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第2版</w:t>
            </w:r>
          </w:p>
        </w:tc>
      </w:tr>
      <w:tr w14:paraId="090527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88" w:hRule="atLeast"/>
          <w:jc w:val="center"/>
        </w:trPr>
        <w:tc>
          <w:tcPr>
            <w:tcW w:w="2182" w:type="dxa"/>
            <w:vAlign w:val="center"/>
          </w:tcPr>
          <w:p w14:paraId="1FED5CDD">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园林设计与实训教程</w:t>
            </w:r>
          </w:p>
        </w:tc>
        <w:tc>
          <w:tcPr>
            <w:tcW w:w="1134" w:type="dxa"/>
            <w:vAlign w:val="center"/>
          </w:tcPr>
          <w:p w14:paraId="121C1342">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周围等</w:t>
            </w:r>
          </w:p>
        </w:tc>
        <w:tc>
          <w:tcPr>
            <w:tcW w:w="850" w:type="dxa"/>
            <w:vAlign w:val="center"/>
          </w:tcPr>
          <w:p w14:paraId="16D10D66">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副主编</w:t>
            </w:r>
          </w:p>
        </w:tc>
        <w:tc>
          <w:tcPr>
            <w:tcW w:w="1134" w:type="dxa"/>
            <w:vAlign w:val="center"/>
          </w:tcPr>
          <w:p w14:paraId="4AF29F25">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202407</w:t>
            </w:r>
          </w:p>
        </w:tc>
        <w:tc>
          <w:tcPr>
            <w:tcW w:w="2072" w:type="dxa"/>
            <w:vAlign w:val="center"/>
          </w:tcPr>
          <w:p w14:paraId="46457A1E">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北京出版集团</w:t>
            </w:r>
          </w:p>
        </w:tc>
        <w:tc>
          <w:tcPr>
            <w:tcW w:w="1050" w:type="dxa"/>
            <w:vAlign w:val="center"/>
          </w:tcPr>
          <w:p w14:paraId="375C37A5">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textAlignment w:val="baseline"/>
              <w:rPr>
                <w:rFonts w:ascii="Times New Roman" w:hAnsi="Times New Roman" w:cs="Times New Roman"/>
                <w:color w:val="333333"/>
                <w:szCs w:val="21"/>
              </w:rPr>
            </w:pPr>
            <w:r>
              <w:rPr>
                <w:rFonts w:ascii="Times New Roman" w:hAnsi="Times New Roman" w:cs="Times New Roman"/>
                <w:color w:val="333333"/>
                <w:szCs w:val="21"/>
              </w:rPr>
              <w:t>第1版</w:t>
            </w:r>
          </w:p>
        </w:tc>
      </w:tr>
    </w:tbl>
    <w:p w14:paraId="60FEB44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14:paraId="451FA9AF">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jc w:val="center"/>
        <w:textAlignment w:val="auto"/>
        <w:rPr>
          <w:rFonts w:hint="default" w:ascii="Times New Roman" w:hAnsi="Times New Roman" w:cs="Times New Roman" w:eastAsiaTheme="majorEastAsia"/>
          <w:b/>
          <w:color w:val="000000"/>
          <w:szCs w:val="21"/>
        </w:rPr>
      </w:pPr>
      <w:r>
        <w:rPr>
          <w:rFonts w:hint="default" w:ascii="Times New Roman" w:hAnsi="Times New Roman" w:eastAsia="宋体" w:cs="Times New Roman"/>
          <w:b/>
          <w:color w:val="000000"/>
          <w:szCs w:val="21"/>
        </w:rPr>
        <w:t xml:space="preserve">表2  课程与入库案例 </w:t>
      </w:r>
      <w:r>
        <w:rPr>
          <w:rFonts w:hint="default" w:ascii="Times New Roman" w:hAnsi="Times New Roman" w:cs="Times New Roman" w:eastAsiaTheme="majorEastAsia"/>
          <w:b/>
          <w:color w:val="000000"/>
          <w:szCs w:val="21"/>
        </w:rPr>
        <w:t xml:space="preserve"> </w:t>
      </w:r>
    </w:p>
    <w:tbl>
      <w:tblPr>
        <w:tblStyle w:val="1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2976"/>
        <w:gridCol w:w="2989"/>
        <w:gridCol w:w="885"/>
        <w:gridCol w:w="1138"/>
      </w:tblGrid>
      <w:tr w14:paraId="56CD80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4AC2F10A">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eastAsiaTheme="majorEastAsia"/>
                <w:b/>
                <w:szCs w:val="21"/>
              </w:rPr>
            </w:pPr>
            <w:r>
              <w:rPr>
                <w:rFonts w:hint="default" w:ascii="Times New Roman" w:hAnsi="Times New Roman" w:cs="Times New Roman" w:eastAsiaTheme="majorEastAsia"/>
                <w:b/>
                <w:szCs w:val="21"/>
              </w:rPr>
              <w:t>序号</w:t>
            </w:r>
          </w:p>
        </w:tc>
        <w:tc>
          <w:tcPr>
            <w:tcW w:w="2976" w:type="dxa"/>
            <w:vAlign w:val="center"/>
          </w:tcPr>
          <w:p w14:paraId="23E852CC">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eastAsiaTheme="majorEastAsia"/>
                <w:b/>
                <w:szCs w:val="21"/>
              </w:rPr>
            </w:pPr>
            <w:r>
              <w:rPr>
                <w:rFonts w:hint="default" w:ascii="Times New Roman" w:hAnsi="Times New Roman" w:cs="Times New Roman" w:eastAsiaTheme="majorEastAsia"/>
                <w:b/>
                <w:szCs w:val="21"/>
              </w:rPr>
              <w:t>课程/案例名称</w:t>
            </w:r>
          </w:p>
        </w:tc>
        <w:tc>
          <w:tcPr>
            <w:tcW w:w="2989" w:type="dxa"/>
            <w:vAlign w:val="center"/>
          </w:tcPr>
          <w:p w14:paraId="544B0D54">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eastAsiaTheme="majorEastAsia"/>
                <w:b/>
                <w:szCs w:val="21"/>
              </w:rPr>
            </w:pPr>
            <w:r>
              <w:rPr>
                <w:rFonts w:hint="default" w:ascii="Times New Roman" w:hAnsi="Times New Roman" w:cs="Times New Roman" w:eastAsiaTheme="majorEastAsia"/>
                <w:b/>
                <w:szCs w:val="21"/>
              </w:rPr>
              <w:t>类别</w:t>
            </w:r>
          </w:p>
        </w:tc>
        <w:tc>
          <w:tcPr>
            <w:tcW w:w="885" w:type="dxa"/>
            <w:vAlign w:val="center"/>
          </w:tcPr>
          <w:p w14:paraId="3DC79029">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eastAsiaTheme="majorEastAsia"/>
                <w:b/>
                <w:szCs w:val="21"/>
              </w:rPr>
            </w:pPr>
            <w:r>
              <w:rPr>
                <w:rFonts w:hint="default" w:ascii="Times New Roman" w:hAnsi="Times New Roman" w:cs="Times New Roman" w:eastAsiaTheme="majorEastAsia"/>
                <w:b/>
                <w:szCs w:val="21"/>
              </w:rPr>
              <w:t>负责人</w:t>
            </w:r>
          </w:p>
        </w:tc>
        <w:tc>
          <w:tcPr>
            <w:tcW w:w="1138" w:type="dxa"/>
            <w:vAlign w:val="center"/>
          </w:tcPr>
          <w:p w14:paraId="3D7BF98C">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eastAsiaTheme="majorEastAsia"/>
                <w:b/>
                <w:szCs w:val="21"/>
              </w:rPr>
            </w:pPr>
            <w:r>
              <w:rPr>
                <w:rFonts w:hint="default" w:ascii="Times New Roman" w:hAnsi="Times New Roman" w:cs="Times New Roman" w:eastAsiaTheme="majorEastAsia"/>
                <w:b/>
                <w:szCs w:val="21"/>
              </w:rPr>
              <w:t>批准年度</w:t>
            </w:r>
          </w:p>
        </w:tc>
      </w:tr>
      <w:tr w14:paraId="0440DB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jc w:val="center"/>
        </w:trPr>
        <w:tc>
          <w:tcPr>
            <w:tcW w:w="534" w:type="dxa"/>
            <w:vAlign w:val="center"/>
          </w:tcPr>
          <w:p w14:paraId="1734A2AC">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1</w:t>
            </w:r>
          </w:p>
        </w:tc>
        <w:tc>
          <w:tcPr>
            <w:tcW w:w="2976" w:type="dxa"/>
            <w:vAlign w:val="center"/>
          </w:tcPr>
          <w:p w14:paraId="58901098">
            <w:pPr>
              <w:keepNext w:val="0"/>
              <w:keepLines w:val="0"/>
              <w:pageBreakBefore w:val="0"/>
              <w:widowControl w:val="0"/>
              <w:kinsoku/>
              <w:wordWrap/>
              <w:overflowPunct w:val="0"/>
              <w:topLinePunct w:val="0"/>
              <w:autoSpaceDE/>
              <w:autoSpaceDN/>
              <w:bidi w:val="0"/>
              <w:adjustRightInd w:val="0"/>
              <w:snapToGrid w:val="0"/>
              <w:ind w:left="0" w:leftChars="0" w:right="0" w:rightChars="0"/>
              <w:jc w:val="both"/>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园林植物生理学</w:t>
            </w:r>
          </w:p>
        </w:tc>
        <w:tc>
          <w:tcPr>
            <w:tcW w:w="2989" w:type="dxa"/>
            <w:vAlign w:val="center"/>
          </w:tcPr>
          <w:p w14:paraId="25CB8F8F">
            <w:pPr>
              <w:keepNext w:val="0"/>
              <w:keepLines w:val="0"/>
              <w:pageBreakBefore w:val="0"/>
              <w:widowControl w:val="0"/>
              <w:kinsoku/>
              <w:wordWrap/>
              <w:overflowPunct w:val="0"/>
              <w:topLinePunct w:val="0"/>
              <w:autoSpaceDE/>
              <w:autoSpaceDN/>
              <w:bidi w:val="0"/>
              <w:adjustRightInd w:val="0"/>
              <w:snapToGrid w:val="0"/>
              <w:ind w:left="0" w:leftChars="0" w:right="0" w:rightChars="0"/>
              <w:jc w:val="both"/>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省级精品示范课程</w:t>
            </w:r>
          </w:p>
        </w:tc>
        <w:tc>
          <w:tcPr>
            <w:tcW w:w="885" w:type="dxa"/>
            <w:vAlign w:val="center"/>
          </w:tcPr>
          <w:p w14:paraId="4C353143">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雍玉冰</w:t>
            </w:r>
          </w:p>
        </w:tc>
        <w:tc>
          <w:tcPr>
            <w:tcW w:w="1138" w:type="dxa"/>
            <w:vAlign w:val="center"/>
          </w:tcPr>
          <w:p w14:paraId="579BCA9C">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2024年</w:t>
            </w:r>
          </w:p>
        </w:tc>
      </w:tr>
      <w:tr w14:paraId="47D037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 w:hRule="exact"/>
          <w:jc w:val="center"/>
        </w:trPr>
        <w:tc>
          <w:tcPr>
            <w:tcW w:w="534" w:type="dxa"/>
            <w:vAlign w:val="center"/>
          </w:tcPr>
          <w:p w14:paraId="51B6797C">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w:t>
            </w:r>
          </w:p>
        </w:tc>
        <w:tc>
          <w:tcPr>
            <w:tcW w:w="2976" w:type="dxa"/>
            <w:vAlign w:val="center"/>
          </w:tcPr>
          <w:p w14:paraId="605F5C51">
            <w:pPr>
              <w:keepNext w:val="0"/>
              <w:keepLines w:val="0"/>
              <w:pageBreakBefore w:val="0"/>
              <w:widowControl w:val="0"/>
              <w:kinsoku/>
              <w:wordWrap/>
              <w:overflowPunct w:val="0"/>
              <w:topLinePunct w:val="0"/>
              <w:autoSpaceDE/>
              <w:autoSpaceDN/>
              <w:bidi w:val="0"/>
              <w:adjustRightInd w:val="0"/>
              <w:snapToGrid w:val="0"/>
              <w:ind w:left="0" w:leftChars="0" w:right="0" w:rightChars="0"/>
              <w:jc w:val="both"/>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高级植物育种理论与技术</w:t>
            </w:r>
          </w:p>
        </w:tc>
        <w:tc>
          <w:tcPr>
            <w:tcW w:w="2989" w:type="dxa"/>
            <w:vAlign w:val="center"/>
          </w:tcPr>
          <w:p w14:paraId="45657A33">
            <w:pPr>
              <w:keepNext w:val="0"/>
              <w:keepLines w:val="0"/>
              <w:pageBreakBefore w:val="0"/>
              <w:widowControl w:val="0"/>
              <w:kinsoku/>
              <w:wordWrap/>
              <w:overflowPunct w:val="0"/>
              <w:topLinePunct w:val="0"/>
              <w:autoSpaceDE/>
              <w:autoSpaceDN/>
              <w:bidi w:val="0"/>
              <w:adjustRightInd w:val="0"/>
              <w:snapToGrid w:val="0"/>
              <w:ind w:left="0" w:leftChars="0" w:right="0" w:rightChars="0"/>
              <w:jc w:val="both"/>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专业学位研究生在线教育平台</w:t>
            </w:r>
          </w:p>
        </w:tc>
        <w:tc>
          <w:tcPr>
            <w:tcW w:w="885" w:type="dxa"/>
            <w:vAlign w:val="center"/>
          </w:tcPr>
          <w:p w14:paraId="610DCA25">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曹受金</w:t>
            </w:r>
          </w:p>
        </w:tc>
        <w:tc>
          <w:tcPr>
            <w:tcW w:w="1138" w:type="dxa"/>
            <w:vAlign w:val="center"/>
          </w:tcPr>
          <w:p w14:paraId="6910E28D">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2024年</w:t>
            </w:r>
          </w:p>
        </w:tc>
      </w:tr>
      <w:tr w14:paraId="6B039C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exact"/>
          <w:jc w:val="center"/>
        </w:trPr>
        <w:tc>
          <w:tcPr>
            <w:tcW w:w="534" w:type="dxa"/>
            <w:vAlign w:val="center"/>
          </w:tcPr>
          <w:p w14:paraId="28C1E191">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3</w:t>
            </w:r>
          </w:p>
        </w:tc>
        <w:tc>
          <w:tcPr>
            <w:tcW w:w="2976" w:type="dxa"/>
            <w:vAlign w:val="center"/>
          </w:tcPr>
          <w:p w14:paraId="7E2B4A1A">
            <w:pPr>
              <w:keepNext w:val="0"/>
              <w:keepLines w:val="0"/>
              <w:pageBreakBefore w:val="0"/>
              <w:widowControl w:val="0"/>
              <w:kinsoku/>
              <w:wordWrap/>
              <w:overflowPunct w:val="0"/>
              <w:topLinePunct w:val="0"/>
              <w:autoSpaceDE/>
              <w:autoSpaceDN/>
              <w:bidi w:val="0"/>
              <w:adjustRightInd w:val="0"/>
              <w:snapToGrid w:val="0"/>
              <w:ind w:left="0" w:leftChars="0" w:right="0" w:rightChars="0"/>
              <w:jc w:val="both"/>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城市设计概论</w:t>
            </w:r>
          </w:p>
          <w:p w14:paraId="30F72EC0">
            <w:pPr>
              <w:keepNext w:val="0"/>
              <w:keepLines w:val="0"/>
              <w:pageBreakBefore w:val="0"/>
              <w:widowControl w:val="0"/>
              <w:kinsoku/>
              <w:wordWrap/>
              <w:overflowPunct w:val="0"/>
              <w:topLinePunct w:val="0"/>
              <w:autoSpaceDE/>
              <w:autoSpaceDN/>
              <w:bidi w:val="0"/>
              <w:adjustRightInd w:val="0"/>
              <w:snapToGrid w:val="0"/>
              <w:ind w:left="0" w:leftChars="0" w:right="0" w:rightChars="0"/>
              <w:jc w:val="both"/>
              <w:rPr>
                <w:rFonts w:hint="default" w:ascii="Times New Roman" w:hAnsi="Times New Roman" w:cs="Times New Roman" w:eastAsiaTheme="majorEastAsia"/>
                <w:szCs w:val="21"/>
              </w:rPr>
            </w:pPr>
          </w:p>
        </w:tc>
        <w:tc>
          <w:tcPr>
            <w:tcW w:w="2989" w:type="dxa"/>
            <w:vAlign w:val="center"/>
          </w:tcPr>
          <w:p w14:paraId="15C942A3">
            <w:pPr>
              <w:keepNext w:val="0"/>
              <w:keepLines w:val="0"/>
              <w:pageBreakBefore w:val="0"/>
              <w:widowControl w:val="0"/>
              <w:kinsoku/>
              <w:wordWrap/>
              <w:overflowPunct w:val="0"/>
              <w:topLinePunct w:val="0"/>
              <w:autoSpaceDE/>
              <w:autoSpaceDN/>
              <w:bidi w:val="0"/>
              <w:adjustRightInd w:val="0"/>
              <w:snapToGrid w:val="0"/>
              <w:ind w:left="0" w:leftChars="0" w:right="0" w:rightChars="0"/>
              <w:jc w:val="both"/>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智慧课程</w:t>
            </w:r>
          </w:p>
        </w:tc>
        <w:tc>
          <w:tcPr>
            <w:tcW w:w="885" w:type="dxa"/>
            <w:vAlign w:val="center"/>
          </w:tcPr>
          <w:p w14:paraId="650E143F">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王燕</w:t>
            </w:r>
          </w:p>
        </w:tc>
        <w:tc>
          <w:tcPr>
            <w:tcW w:w="1138" w:type="dxa"/>
            <w:vAlign w:val="center"/>
          </w:tcPr>
          <w:p w14:paraId="682B9518">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2024年</w:t>
            </w:r>
          </w:p>
        </w:tc>
      </w:tr>
      <w:tr w14:paraId="536F75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exact"/>
          <w:jc w:val="center"/>
        </w:trPr>
        <w:tc>
          <w:tcPr>
            <w:tcW w:w="534" w:type="dxa"/>
            <w:vAlign w:val="center"/>
          </w:tcPr>
          <w:p w14:paraId="7042D496">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4</w:t>
            </w:r>
          </w:p>
        </w:tc>
        <w:tc>
          <w:tcPr>
            <w:tcW w:w="2976" w:type="dxa"/>
            <w:vAlign w:val="center"/>
          </w:tcPr>
          <w:p w14:paraId="57C05EEB">
            <w:pPr>
              <w:keepNext w:val="0"/>
              <w:keepLines w:val="0"/>
              <w:pageBreakBefore w:val="0"/>
              <w:widowControl w:val="0"/>
              <w:kinsoku/>
              <w:wordWrap/>
              <w:overflowPunct w:val="0"/>
              <w:topLinePunct w:val="0"/>
              <w:autoSpaceDE/>
              <w:autoSpaceDN/>
              <w:bidi w:val="0"/>
              <w:adjustRightInd w:val="0"/>
              <w:snapToGrid w:val="0"/>
              <w:ind w:left="0" w:leftChars="0" w:right="0" w:rightChars="0"/>
              <w:jc w:val="both"/>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风景园林历史与理论</w:t>
            </w:r>
          </w:p>
        </w:tc>
        <w:tc>
          <w:tcPr>
            <w:tcW w:w="2989" w:type="dxa"/>
            <w:vAlign w:val="center"/>
          </w:tcPr>
          <w:p w14:paraId="668A8779">
            <w:pPr>
              <w:keepNext w:val="0"/>
              <w:keepLines w:val="0"/>
              <w:pageBreakBefore w:val="0"/>
              <w:widowControl w:val="0"/>
              <w:kinsoku/>
              <w:wordWrap/>
              <w:overflowPunct w:val="0"/>
              <w:topLinePunct w:val="0"/>
              <w:autoSpaceDE/>
              <w:autoSpaceDN/>
              <w:bidi w:val="0"/>
              <w:adjustRightInd w:val="0"/>
              <w:snapToGrid w:val="0"/>
              <w:ind w:left="0" w:leftChars="0" w:right="0" w:rightChars="0"/>
              <w:jc w:val="both"/>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校级课程思政示范课程</w:t>
            </w:r>
          </w:p>
        </w:tc>
        <w:tc>
          <w:tcPr>
            <w:tcW w:w="885" w:type="dxa"/>
            <w:vAlign w:val="center"/>
          </w:tcPr>
          <w:p w14:paraId="4C7323FC">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廖秋林</w:t>
            </w:r>
          </w:p>
        </w:tc>
        <w:tc>
          <w:tcPr>
            <w:tcW w:w="1138" w:type="dxa"/>
            <w:vAlign w:val="center"/>
          </w:tcPr>
          <w:p w14:paraId="06D7B7B8">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2024年</w:t>
            </w:r>
          </w:p>
        </w:tc>
      </w:tr>
      <w:tr w14:paraId="608BB1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exact"/>
          <w:jc w:val="center"/>
        </w:trPr>
        <w:tc>
          <w:tcPr>
            <w:tcW w:w="534" w:type="dxa"/>
            <w:vAlign w:val="center"/>
          </w:tcPr>
          <w:p w14:paraId="26EC4492">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5</w:t>
            </w:r>
          </w:p>
        </w:tc>
        <w:tc>
          <w:tcPr>
            <w:tcW w:w="2976" w:type="dxa"/>
            <w:vAlign w:val="center"/>
          </w:tcPr>
          <w:p w14:paraId="5597CF77">
            <w:pPr>
              <w:keepNext w:val="0"/>
              <w:keepLines w:val="0"/>
              <w:pageBreakBefore w:val="0"/>
              <w:widowControl w:val="0"/>
              <w:kinsoku/>
              <w:wordWrap/>
              <w:overflowPunct w:val="0"/>
              <w:topLinePunct w:val="0"/>
              <w:autoSpaceDE/>
              <w:autoSpaceDN/>
              <w:bidi w:val="0"/>
              <w:adjustRightInd w:val="0"/>
              <w:snapToGrid w:val="0"/>
              <w:ind w:left="0" w:leftChars="0" w:right="0" w:rightChars="0"/>
              <w:jc w:val="both"/>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植物景观规划与造景专题</w:t>
            </w:r>
          </w:p>
        </w:tc>
        <w:tc>
          <w:tcPr>
            <w:tcW w:w="2989" w:type="dxa"/>
            <w:vAlign w:val="center"/>
          </w:tcPr>
          <w:p w14:paraId="1D43A5F6">
            <w:pPr>
              <w:keepNext w:val="0"/>
              <w:keepLines w:val="0"/>
              <w:pageBreakBefore w:val="0"/>
              <w:widowControl w:val="0"/>
              <w:kinsoku/>
              <w:wordWrap/>
              <w:overflowPunct w:val="0"/>
              <w:topLinePunct w:val="0"/>
              <w:autoSpaceDE/>
              <w:autoSpaceDN/>
              <w:bidi w:val="0"/>
              <w:adjustRightInd w:val="0"/>
              <w:snapToGrid w:val="0"/>
              <w:ind w:left="0" w:leftChars="0" w:right="0" w:rightChars="0"/>
              <w:jc w:val="both"/>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校级课程思政示范课程</w:t>
            </w:r>
          </w:p>
        </w:tc>
        <w:tc>
          <w:tcPr>
            <w:tcW w:w="885" w:type="dxa"/>
            <w:vAlign w:val="center"/>
          </w:tcPr>
          <w:p w14:paraId="39651F53">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许慧</w:t>
            </w:r>
          </w:p>
        </w:tc>
        <w:tc>
          <w:tcPr>
            <w:tcW w:w="1138" w:type="dxa"/>
            <w:vAlign w:val="center"/>
          </w:tcPr>
          <w:p w14:paraId="32431743">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2024年</w:t>
            </w:r>
          </w:p>
        </w:tc>
      </w:tr>
      <w:tr w14:paraId="3581FF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2" w:hRule="exact"/>
          <w:jc w:val="center"/>
        </w:trPr>
        <w:tc>
          <w:tcPr>
            <w:tcW w:w="534" w:type="dxa"/>
            <w:vAlign w:val="center"/>
          </w:tcPr>
          <w:p w14:paraId="57976FB9">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6</w:t>
            </w:r>
          </w:p>
        </w:tc>
        <w:tc>
          <w:tcPr>
            <w:tcW w:w="2976" w:type="dxa"/>
            <w:vAlign w:val="center"/>
          </w:tcPr>
          <w:p w14:paraId="67A5FE19">
            <w:pPr>
              <w:keepNext w:val="0"/>
              <w:keepLines w:val="0"/>
              <w:pageBreakBefore w:val="0"/>
              <w:widowControl w:val="0"/>
              <w:kinsoku/>
              <w:wordWrap/>
              <w:overflowPunct w:val="0"/>
              <w:topLinePunct w:val="0"/>
              <w:autoSpaceDE/>
              <w:autoSpaceDN/>
              <w:bidi w:val="0"/>
              <w:adjustRightInd w:val="0"/>
              <w:snapToGrid w:val="0"/>
              <w:ind w:left="0" w:leftChars="0" w:right="0" w:rightChars="0"/>
              <w:jc w:val="both"/>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国兰栽培管理及繁育技术创建</w:t>
            </w:r>
          </w:p>
        </w:tc>
        <w:tc>
          <w:tcPr>
            <w:tcW w:w="2989" w:type="dxa"/>
            <w:vAlign w:val="center"/>
          </w:tcPr>
          <w:p w14:paraId="6611E284">
            <w:pPr>
              <w:keepNext w:val="0"/>
              <w:keepLines w:val="0"/>
              <w:pageBreakBefore w:val="0"/>
              <w:widowControl w:val="0"/>
              <w:kinsoku/>
              <w:wordWrap/>
              <w:overflowPunct w:val="0"/>
              <w:topLinePunct w:val="0"/>
              <w:autoSpaceDE/>
              <w:autoSpaceDN/>
              <w:bidi w:val="0"/>
              <w:adjustRightInd w:val="0"/>
              <w:snapToGrid w:val="0"/>
              <w:ind w:left="0" w:leftChars="0" w:right="0" w:rightChars="0"/>
              <w:jc w:val="both"/>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中国专业学位案例中心第二批“精品案例课堂”</w:t>
            </w:r>
          </w:p>
        </w:tc>
        <w:tc>
          <w:tcPr>
            <w:tcW w:w="885" w:type="dxa"/>
            <w:vAlign w:val="center"/>
          </w:tcPr>
          <w:p w14:paraId="572BCF33">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曹受金</w:t>
            </w:r>
          </w:p>
        </w:tc>
        <w:tc>
          <w:tcPr>
            <w:tcW w:w="1138" w:type="dxa"/>
            <w:vAlign w:val="center"/>
          </w:tcPr>
          <w:p w14:paraId="46B8AAEC">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2024年</w:t>
            </w:r>
          </w:p>
        </w:tc>
      </w:tr>
      <w:tr w14:paraId="1D8610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exact"/>
          <w:jc w:val="center"/>
        </w:trPr>
        <w:tc>
          <w:tcPr>
            <w:tcW w:w="534" w:type="dxa"/>
            <w:vAlign w:val="center"/>
          </w:tcPr>
          <w:p w14:paraId="5BD81E9F">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7</w:t>
            </w:r>
          </w:p>
        </w:tc>
        <w:tc>
          <w:tcPr>
            <w:tcW w:w="2976" w:type="dxa"/>
            <w:vAlign w:val="center"/>
          </w:tcPr>
          <w:p w14:paraId="0D1BB373">
            <w:pPr>
              <w:keepNext w:val="0"/>
              <w:keepLines w:val="0"/>
              <w:pageBreakBefore w:val="0"/>
              <w:widowControl w:val="0"/>
              <w:kinsoku/>
              <w:wordWrap/>
              <w:overflowPunct w:val="0"/>
              <w:topLinePunct w:val="0"/>
              <w:autoSpaceDE/>
              <w:autoSpaceDN/>
              <w:bidi w:val="0"/>
              <w:adjustRightInd w:val="0"/>
              <w:snapToGrid w:val="0"/>
              <w:ind w:left="0" w:leftChars="0" w:right="0" w:rightChars="0"/>
              <w:jc w:val="both"/>
              <w:rPr>
                <w:rFonts w:hint="default" w:ascii="Times New Roman" w:hAnsi="Times New Roman" w:cs="Times New Roman" w:eastAsiaTheme="majorEastAsia"/>
                <w:szCs w:val="21"/>
              </w:rPr>
            </w:pPr>
            <w:r>
              <w:rPr>
                <w:rFonts w:hint="default" w:ascii="Times New Roman" w:hAnsi="Times New Roman" w:eastAsia="新宋体" w:cs="Times New Roman"/>
                <w:color w:val="333333"/>
                <w:shd w:val="clear" w:color="auto" w:fill="FFFFFF"/>
              </w:rPr>
              <w:t>风景园林学研究动态专题</w:t>
            </w:r>
          </w:p>
        </w:tc>
        <w:tc>
          <w:tcPr>
            <w:tcW w:w="2989" w:type="dxa"/>
            <w:vAlign w:val="center"/>
          </w:tcPr>
          <w:p w14:paraId="7ABFF5A7">
            <w:pPr>
              <w:keepNext w:val="0"/>
              <w:keepLines w:val="0"/>
              <w:pageBreakBefore w:val="0"/>
              <w:widowControl w:val="0"/>
              <w:kinsoku/>
              <w:wordWrap/>
              <w:overflowPunct w:val="0"/>
              <w:topLinePunct w:val="0"/>
              <w:autoSpaceDE/>
              <w:autoSpaceDN/>
              <w:bidi w:val="0"/>
              <w:adjustRightInd w:val="0"/>
              <w:snapToGrid w:val="0"/>
              <w:ind w:left="0" w:leftChars="0" w:right="0" w:rightChars="0"/>
              <w:jc w:val="both"/>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第二届湖南省研究生课程思政课堂教学大赛二等奖</w:t>
            </w:r>
          </w:p>
        </w:tc>
        <w:tc>
          <w:tcPr>
            <w:tcW w:w="885" w:type="dxa"/>
            <w:vAlign w:val="center"/>
          </w:tcPr>
          <w:p w14:paraId="313FEE52">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邱慧</w:t>
            </w:r>
          </w:p>
        </w:tc>
        <w:tc>
          <w:tcPr>
            <w:tcW w:w="1138" w:type="dxa"/>
            <w:vAlign w:val="center"/>
          </w:tcPr>
          <w:p w14:paraId="7CA693EE">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2024年</w:t>
            </w:r>
          </w:p>
        </w:tc>
      </w:tr>
    </w:tbl>
    <w:p w14:paraId="75BB60D0">
      <w:pPr>
        <w:pStyle w:val="5"/>
        <w:keepNext w:val="0"/>
        <w:keepLines w:val="0"/>
        <w:pageBreakBefore w:val="0"/>
        <w:widowControl w:val="0"/>
        <w:kinsoku/>
        <w:wordWrap/>
        <w:overflowPunct w:val="0"/>
        <w:topLinePunct w:val="0"/>
        <w:autoSpaceDE/>
        <w:autoSpaceDN/>
        <w:bidi w:val="0"/>
        <w:adjustRightInd/>
        <w:snapToGrid w:val="0"/>
        <w:spacing w:before="132" w:beforeLines="30" w:after="0" w:afterLines="0" w:line="360" w:lineRule="auto"/>
        <w:ind w:left="0" w:leftChars="0" w:right="0" w:rightChars="0"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（4）专业实践质量</w:t>
      </w:r>
    </w:p>
    <w:p w14:paraId="6353162F">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default" w:ascii="Times New Roman" w:hAnsi="Times New Roman" w:eastAsia="宋体" w:cs="Times New Roman"/>
          <w:color w:val="000000"/>
          <w:kern w:val="0"/>
          <w:sz w:val="24"/>
          <w:szCs w:val="24"/>
          <w:lang w:bidi="ar"/>
        </w:rPr>
        <w:t>为深化产教融合协同育人机制，本学位点构建产教协同育人机制创新实践教学体系，着力提升研究生专</w:t>
      </w:r>
      <w:r>
        <w:rPr>
          <w:rFonts w:hint="eastAsia" w:ascii="宋体" w:hAnsi="宋体" w:eastAsia="宋体" w:cs="宋体"/>
          <w:color w:val="000000"/>
          <w:kern w:val="0"/>
          <w:sz w:val="24"/>
          <w:szCs w:val="24"/>
          <w:lang w:bidi="ar"/>
        </w:rPr>
        <w:t>业实践质量，紧密对接风景园林行业发展趋势，建立“需求导向-能力递进”的实践培养体系。实施“双导师”指导模式，组建由校内学术导师与企业实践导师共同进行专业实践指导，校企联合制定实践方案，全过程实施“方案共商-过程共管-质量共评”的协同管理机制。目前聘请32位来自行业领军企业的技术专家担任实践导师。</w:t>
      </w:r>
    </w:p>
    <w:p w14:paraId="7FC4B3CA">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default" w:ascii="Times New Roman" w:hAnsi="Times New Roman" w:eastAsia="宋体" w:cs="Times New Roman"/>
          <w:color w:val="000000"/>
          <w:kern w:val="0"/>
          <w:sz w:val="24"/>
          <w:szCs w:val="24"/>
          <w:lang w:bidi="ar"/>
        </w:rPr>
        <w:t>2024年累计选派28名教师赴南宁青秀</w:t>
      </w:r>
      <w:r>
        <w:rPr>
          <w:rFonts w:hint="eastAsia" w:ascii="宋体" w:hAnsi="宋体" w:eastAsia="宋体" w:cs="宋体"/>
          <w:color w:val="000000"/>
          <w:kern w:val="0"/>
          <w:sz w:val="24"/>
          <w:szCs w:val="24"/>
          <w:lang w:bidi="ar"/>
        </w:rPr>
        <w:t>山风景区、上海辰山植物园、中建五局、长沙市规划设计院等企业合作与交流，邀</w:t>
      </w:r>
      <w:r>
        <w:rPr>
          <w:rFonts w:hint="default" w:ascii="Times New Roman" w:hAnsi="Times New Roman" w:eastAsia="宋体" w:cs="Times New Roman"/>
          <w:color w:val="000000"/>
          <w:kern w:val="0"/>
          <w:sz w:val="24"/>
          <w:szCs w:val="24"/>
          <w:lang w:bidi="ar"/>
        </w:rPr>
        <w:t>请46位企业技</w:t>
      </w:r>
      <w:r>
        <w:rPr>
          <w:rFonts w:hint="eastAsia" w:ascii="宋体" w:hAnsi="宋体" w:eastAsia="宋体" w:cs="宋体"/>
          <w:color w:val="000000"/>
          <w:kern w:val="0"/>
          <w:sz w:val="24"/>
          <w:szCs w:val="24"/>
          <w:lang w:bidi="ar"/>
        </w:rPr>
        <w:t>术骨干开展专题工作坊，共建“卓越风景师实践”等</w:t>
      </w:r>
      <w:r>
        <w:rPr>
          <w:rFonts w:hint="default" w:ascii="Times New Roman" w:hAnsi="Times New Roman" w:eastAsia="宋体" w:cs="Times New Roman"/>
          <w:color w:val="000000"/>
          <w:kern w:val="0"/>
          <w:sz w:val="24"/>
          <w:szCs w:val="24"/>
          <w:lang w:bidi="ar"/>
        </w:rPr>
        <w:t>5门校</w:t>
      </w:r>
      <w:r>
        <w:rPr>
          <w:rFonts w:hint="eastAsia" w:ascii="宋体" w:hAnsi="宋体" w:eastAsia="宋体" w:cs="宋体"/>
          <w:color w:val="000000"/>
          <w:kern w:val="0"/>
          <w:sz w:val="24"/>
          <w:szCs w:val="24"/>
          <w:lang w:bidi="ar"/>
        </w:rPr>
        <w:t>企合作课程。牵头组建全国城市园林行业产教融合共同体（理事长单位），通过构建“课程实践-项目实训-科研创新-产业服务”的进阶式培</w:t>
      </w:r>
      <w:r>
        <w:rPr>
          <w:rFonts w:hint="default" w:ascii="Times New Roman" w:hAnsi="Times New Roman" w:eastAsia="宋体" w:cs="Times New Roman"/>
          <w:color w:val="000000"/>
          <w:kern w:val="0"/>
          <w:sz w:val="24"/>
          <w:szCs w:val="24"/>
          <w:lang w:bidi="ar"/>
        </w:rPr>
        <w:t>养路径，2024年研究生实</w:t>
      </w:r>
      <w:r>
        <w:rPr>
          <w:rFonts w:hint="eastAsia" w:ascii="宋体" w:hAnsi="宋体" w:eastAsia="宋体" w:cs="宋体"/>
          <w:color w:val="000000"/>
          <w:kern w:val="0"/>
          <w:sz w:val="24"/>
          <w:szCs w:val="24"/>
          <w:lang w:bidi="ar"/>
        </w:rPr>
        <w:t>践成果获各类奖项12项，形成具有示范效应的产教融合实践模式，通过各类创新平台和实践基地建设，为研究生开展实践创建了良好条件。</w:t>
      </w:r>
    </w:p>
    <w:p w14:paraId="5355422F">
      <w:pPr>
        <w:pStyle w:val="5"/>
        <w:keepNext w:val="0"/>
        <w:keepLines w:val="0"/>
        <w:pageBreakBefore w:val="0"/>
        <w:widowControl w:val="0"/>
        <w:kinsoku/>
        <w:wordWrap/>
        <w:overflowPunct w:val="0"/>
        <w:topLinePunct w:val="0"/>
        <w:autoSpaceDE/>
        <w:autoSpaceDN/>
        <w:bidi w:val="0"/>
        <w:adjustRightInd/>
        <w:snapToGrid w:val="0"/>
        <w:spacing w:before="0" w:beforeLines="0" w:after="0" w:afterLines="0" w:line="360" w:lineRule="auto"/>
        <w:ind w:left="0" w:leftChars="0" w:right="0" w:rightChars="0"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（5）学位论文质量</w:t>
      </w:r>
    </w:p>
    <w:p w14:paraId="0D271748">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kern w:val="0"/>
          <w:sz w:val="24"/>
          <w:szCs w:val="24"/>
          <w:lang w:bidi="ar"/>
        </w:rPr>
      </w:pPr>
      <w:r>
        <w:rPr>
          <w:rFonts w:hint="eastAsia" w:ascii="宋体" w:hAnsi="宋体" w:eastAsia="宋体" w:cs="宋体"/>
          <w:color w:val="000000"/>
          <w:kern w:val="0"/>
          <w:sz w:val="24"/>
          <w:szCs w:val="24"/>
          <w:lang w:bidi="ar"/>
        </w:rPr>
        <w:t>本学位点严格执行《中南林业科技大学研究生学位论文要求和答辩实施细则》，建立全流程质量监控机制，从选题、开题、中期检查、论文评审、到答辩组织等各个环节予以质量监控，确保培养过程规范有序。在学位论文选题环节，以前沿性和实践性导向为依据，要</w:t>
      </w:r>
      <w:r>
        <w:rPr>
          <w:rFonts w:hint="default" w:ascii="Times New Roman" w:hAnsi="Times New Roman" w:eastAsia="宋体" w:cs="Times New Roman"/>
          <w:color w:val="000000"/>
          <w:kern w:val="0"/>
          <w:sz w:val="24"/>
          <w:szCs w:val="24"/>
          <w:lang w:bidi="ar"/>
        </w:rPr>
        <w:t>求选题100%来源于实际工程</w:t>
      </w:r>
      <w:r>
        <w:rPr>
          <w:rFonts w:hint="eastAsia" w:ascii="宋体" w:hAnsi="宋体" w:eastAsia="宋体" w:cs="宋体"/>
          <w:color w:val="000000"/>
          <w:kern w:val="0"/>
          <w:sz w:val="24"/>
          <w:szCs w:val="24"/>
          <w:lang w:bidi="ar"/>
        </w:rPr>
        <w:t>项目或行业需求课题，学位论文具有一定的技术难度和工作量，</w:t>
      </w:r>
      <w:r>
        <w:rPr>
          <w:rFonts w:hint="default" w:ascii="Times New Roman" w:hAnsi="Times New Roman" w:eastAsia="宋体" w:cs="Times New Roman"/>
          <w:color w:val="000000"/>
          <w:kern w:val="0"/>
          <w:sz w:val="24"/>
          <w:szCs w:val="24"/>
          <w:lang w:bidi="ar"/>
        </w:rPr>
        <w:t>并组建3-5人导师团</w:t>
      </w:r>
      <w:r>
        <w:rPr>
          <w:rFonts w:hint="eastAsia" w:ascii="宋体" w:hAnsi="宋体" w:eastAsia="宋体" w:cs="宋体"/>
          <w:color w:val="000000"/>
          <w:kern w:val="0"/>
          <w:sz w:val="24"/>
          <w:szCs w:val="24"/>
          <w:lang w:bidi="ar"/>
        </w:rPr>
        <w:t>队进行选题论证。要求导师指导学生严格按照《中南林业科技大学研究生学位论文格式撰写规范》撰写学位论文，学位论文评审采用</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双盲评审</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模式，要求研究生提供原始数据全部为校外</w:t>
      </w:r>
      <w:r>
        <w:rPr>
          <w:rFonts w:hint="default" w:ascii="Times New Roman" w:hAnsi="Times New Roman" w:eastAsia="宋体" w:cs="Times New Roman"/>
          <w:color w:val="000000"/>
          <w:kern w:val="0"/>
          <w:sz w:val="24"/>
          <w:szCs w:val="24"/>
          <w:lang w:bidi="ar"/>
        </w:rPr>
        <w:t xml:space="preserve">评审。2024年获省级优秀硕士论文1篇、校级优秀硕士论文2篇，学位论文抽检合格率100%， </w:t>
      </w:r>
    </w:p>
    <w:p w14:paraId="538E3970">
      <w:pPr>
        <w:pStyle w:val="5"/>
        <w:keepNext w:val="0"/>
        <w:keepLines w:val="0"/>
        <w:pageBreakBefore w:val="0"/>
        <w:widowControl w:val="0"/>
        <w:kinsoku/>
        <w:wordWrap/>
        <w:overflowPunct w:val="0"/>
        <w:topLinePunct w:val="0"/>
        <w:autoSpaceDE/>
        <w:autoSpaceDN/>
        <w:bidi w:val="0"/>
        <w:adjustRightInd/>
        <w:snapToGrid w:val="0"/>
        <w:spacing w:before="0" w:beforeLines="0" w:after="0" w:afterLines="0" w:line="360" w:lineRule="auto"/>
        <w:ind w:left="0" w:leftChars="0" w:right="0" w:rightChars="0"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（6）考核与分流淘汰制度</w:t>
      </w:r>
    </w:p>
    <w:p w14:paraId="002DA213">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default" w:ascii="Times New Roman" w:hAnsi="Times New Roman" w:eastAsia="宋体" w:cs="Times New Roman"/>
          <w:color w:val="000000"/>
          <w:kern w:val="0"/>
          <w:sz w:val="24"/>
          <w:szCs w:val="24"/>
          <w:lang w:bidi="ar"/>
        </w:rPr>
        <w:t>在培养过程管理上，学位点严格按照《中南林业科技大学研究生开题与中期考核实施办法》对在学研究生进</w:t>
      </w:r>
      <w:r>
        <w:rPr>
          <w:rFonts w:hint="eastAsia" w:ascii="宋体" w:hAnsi="宋体" w:eastAsia="宋体" w:cs="宋体"/>
          <w:color w:val="000000"/>
          <w:kern w:val="0"/>
          <w:sz w:val="24"/>
          <w:szCs w:val="24"/>
          <w:lang w:bidi="ar"/>
        </w:rPr>
        <w:t>行考核，考核合格的研究生进入下一阶段学习；考核不合格的研究生，经学科（领域）、学位点审核后，报研究生院审核备案，按照《中南林业科技大学研究生学籍管理实施细则》处理。因故不能在规定时间内进行中期考核的研究生须由本人提出申请，导师、学科（领域）、学位点同意，报研究生院批准备案后，与下一年级研究生一起考核。</w:t>
      </w:r>
    </w:p>
    <w:p w14:paraId="2C3911F7">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学位点结合研究生培养的实际情况和学校相关规定，建立了严格的考核体系，把研究生中期考核作为检验和保证研究生培养质量的一个重要环节。将研究生中期考核安排在第三学期末进行，对研究生从政治表现、纪律观念、课程学习情况、科研情况、论文开题情况等多方面进行认真考核，考核合格者进入论文研究阶段，考核不合格者整改后重新进行中期考核，合格以后进入论文研究阶段。</w:t>
      </w:r>
    </w:p>
    <w:p w14:paraId="4555AB15">
      <w:pPr>
        <w:pStyle w:val="5"/>
        <w:keepNext w:val="0"/>
        <w:keepLines w:val="0"/>
        <w:pageBreakBefore w:val="0"/>
        <w:widowControl w:val="0"/>
        <w:kinsoku/>
        <w:wordWrap/>
        <w:overflowPunct w:val="0"/>
        <w:topLinePunct w:val="0"/>
        <w:autoSpaceDE/>
        <w:autoSpaceDN/>
        <w:bidi w:val="0"/>
        <w:adjustRightInd/>
        <w:snapToGrid w:val="0"/>
        <w:spacing w:before="0" w:beforeLines="0" w:after="0" w:afterLines="0" w:line="360" w:lineRule="auto"/>
        <w:ind w:left="0" w:leftChars="0" w:right="0" w:rightChars="0"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（7）培养成效</w:t>
      </w:r>
    </w:p>
    <w:p w14:paraId="6863AC66">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风景园林专业学位点人才培养成效显著，提升了学生知识与技能，培养学生严谨的学术素养，师生参与的城市生态修复、公园绿地建设、文旅产业升级、绿色产业发展等项目，助力地方经济发展，输送高质量风景园林人才。</w:t>
      </w:r>
    </w:p>
    <w:p w14:paraId="68232D14">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cs="Times New Roman" w:eastAsiaTheme="majorEastAsia"/>
          <w:b/>
          <w:color w:val="000000"/>
          <w:szCs w:val="21"/>
        </w:rPr>
      </w:pPr>
      <w:r>
        <w:rPr>
          <w:rFonts w:hint="eastAsia" w:ascii="宋体" w:hAnsi="宋体" w:eastAsia="宋体" w:cs="宋体"/>
          <w:color w:val="000000"/>
          <w:kern w:val="0"/>
          <w:sz w:val="24"/>
          <w:szCs w:val="24"/>
          <w:lang w:bidi="ar"/>
        </w:rPr>
        <w:t>2024年在校研究生获各类学科竞赛奖项61项，其中获中国风景园林学会荣</w:t>
      </w:r>
      <w:r>
        <w:rPr>
          <w:rFonts w:hint="default" w:ascii="Times New Roman" w:hAnsi="Times New Roman" w:eastAsia="宋体" w:cs="Times New Roman"/>
          <w:color w:val="000000"/>
          <w:kern w:val="0"/>
          <w:sz w:val="24"/>
          <w:szCs w:val="24"/>
          <w:lang w:bidi="ar"/>
        </w:rPr>
        <w:t>誉奖2项，获</w:t>
      </w:r>
      <w:r>
        <w:rPr>
          <w:rFonts w:hint="eastAsia" w:ascii="宋体" w:hAnsi="宋体" w:eastAsia="宋体" w:cs="宋体"/>
          <w:color w:val="000000"/>
          <w:kern w:val="0"/>
          <w:sz w:val="24"/>
          <w:szCs w:val="24"/>
          <w:lang w:bidi="ar"/>
        </w:rPr>
        <w:t>湖南省风景园林学科竞赛</w:t>
      </w:r>
      <w:r>
        <w:rPr>
          <w:rFonts w:hint="default" w:ascii="Times New Roman" w:hAnsi="Times New Roman" w:eastAsia="宋体" w:cs="Times New Roman"/>
          <w:color w:val="000000"/>
          <w:kern w:val="0"/>
          <w:sz w:val="24"/>
          <w:szCs w:val="24"/>
          <w:lang w:bidi="ar"/>
        </w:rPr>
        <w:t>一等奖5项、三等奖4项；完成了中</w:t>
      </w:r>
      <w:r>
        <w:rPr>
          <w:rFonts w:hint="eastAsia" w:ascii="宋体" w:hAnsi="宋体" w:eastAsia="宋体" w:cs="宋体"/>
          <w:color w:val="000000"/>
          <w:kern w:val="0"/>
          <w:sz w:val="24"/>
          <w:szCs w:val="24"/>
          <w:lang w:bidi="ar"/>
        </w:rPr>
        <w:t>南林业科技大学第二届“</w:t>
      </w:r>
      <w:r>
        <w:rPr>
          <w:rFonts w:hint="default" w:ascii="Times New Roman" w:hAnsi="Times New Roman" w:eastAsia="宋体" w:cs="Times New Roman"/>
          <w:color w:val="000000"/>
          <w:kern w:val="0"/>
          <w:sz w:val="24"/>
          <w:szCs w:val="24"/>
          <w:lang w:bidi="ar"/>
        </w:rPr>
        <w:t>THEIA</w:t>
      </w:r>
      <w:r>
        <w:rPr>
          <w:rFonts w:hint="eastAsia" w:ascii="宋体" w:hAnsi="宋体" w:eastAsia="宋体" w:cs="宋体"/>
          <w:color w:val="000000"/>
          <w:kern w:val="0"/>
          <w:sz w:val="24"/>
          <w:szCs w:val="24"/>
          <w:lang w:bidi="ar"/>
        </w:rPr>
        <w:t>”花园设计金奖方案的建造落地；积极参加各类实践活动，撰写调</w:t>
      </w:r>
      <w:r>
        <w:rPr>
          <w:rFonts w:hint="default" w:ascii="Times New Roman" w:hAnsi="Times New Roman" w:eastAsia="宋体" w:cs="Times New Roman"/>
          <w:color w:val="000000"/>
          <w:kern w:val="0"/>
          <w:sz w:val="24"/>
          <w:szCs w:val="24"/>
          <w:lang w:bidi="ar"/>
        </w:rPr>
        <w:t>研报告12份</w:t>
      </w:r>
      <w:r>
        <w:rPr>
          <w:rFonts w:hint="eastAsia" w:ascii="宋体" w:hAnsi="宋体" w:eastAsia="宋体" w:cs="宋体"/>
          <w:color w:val="000000"/>
          <w:kern w:val="0"/>
          <w:sz w:val="24"/>
          <w:szCs w:val="24"/>
          <w:lang w:bidi="ar"/>
        </w:rPr>
        <w:t>；暑期“三下乡”省级示范</w:t>
      </w:r>
      <w:r>
        <w:rPr>
          <w:rFonts w:hint="default" w:ascii="Times New Roman" w:hAnsi="Times New Roman" w:eastAsia="宋体" w:cs="Times New Roman"/>
          <w:color w:val="000000"/>
          <w:kern w:val="0"/>
          <w:sz w:val="24"/>
          <w:szCs w:val="24"/>
          <w:lang w:bidi="ar"/>
        </w:rPr>
        <w:t>团队1支，优秀团队5支；5人获得国家奖学金，169人获得学业奖学金，4人获得研究生优秀个人，9人获得优秀研究生干部，10人获得优秀毕业生。</w:t>
      </w:r>
    </w:p>
    <w:p w14:paraId="3208FBC6">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jc w:val="center"/>
        <w:textAlignment w:val="auto"/>
        <w:rPr>
          <w:rFonts w:hint="default" w:ascii="Times New Roman" w:hAnsi="Times New Roman" w:cs="Times New Roman" w:eastAsiaTheme="majorEastAsia"/>
          <w:b/>
          <w:color w:val="000000"/>
          <w:szCs w:val="21"/>
        </w:rPr>
      </w:pPr>
      <w:r>
        <w:rPr>
          <w:rFonts w:hint="default" w:ascii="Times New Roman" w:hAnsi="Times New Roman" w:eastAsia="宋体" w:cs="Times New Roman"/>
          <w:b/>
          <w:color w:val="000000"/>
          <w:szCs w:val="21"/>
        </w:rPr>
        <w:t xml:space="preserve">表3学生代表性成果（限10项） </w:t>
      </w:r>
      <w:r>
        <w:rPr>
          <w:rFonts w:hint="default" w:ascii="Times New Roman" w:hAnsi="Times New Roman" w:cs="Times New Roman" w:eastAsiaTheme="majorEastAsia"/>
          <w:b/>
          <w:color w:val="000000"/>
          <w:szCs w:val="21"/>
        </w:rPr>
        <w:t xml:space="preserve"> </w:t>
      </w:r>
    </w:p>
    <w:tbl>
      <w:tblPr>
        <w:tblStyle w:val="11"/>
        <w:tblW w:w="4906" w:type="pct"/>
        <w:jc w:val="center"/>
        <w:tblLayout w:type="fixed"/>
        <w:tblCellMar>
          <w:top w:w="0" w:type="dxa"/>
          <w:left w:w="108" w:type="dxa"/>
          <w:bottom w:w="0" w:type="dxa"/>
          <w:right w:w="108" w:type="dxa"/>
        </w:tblCellMar>
      </w:tblPr>
      <w:tblGrid>
        <w:gridCol w:w="676"/>
        <w:gridCol w:w="1749"/>
        <w:gridCol w:w="1550"/>
        <w:gridCol w:w="1013"/>
        <w:gridCol w:w="2567"/>
        <w:gridCol w:w="924"/>
      </w:tblGrid>
      <w:tr w14:paraId="14005C44">
        <w:tblPrEx>
          <w:tblCellMar>
            <w:top w:w="0" w:type="dxa"/>
            <w:left w:w="108" w:type="dxa"/>
            <w:bottom w:w="0" w:type="dxa"/>
            <w:right w:w="108" w:type="dxa"/>
          </w:tblCellMar>
        </w:tblPrEx>
        <w:trPr>
          <w:trHeight w:val="60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F2C0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序号</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86C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姓名（入学时间，学位类型，学习方式）</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D384C">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b/>
                <w:bCs/>
                <w:color w:val="000000"/>
                <w:kern w:val="0"/>
                <w:szCs w:val="21"/>
                <w:lang w:bidi="ar"/>
              </w:rPr>
              <w:t>成果类别</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DA30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获得</w:t>
            </w:r>
          </w:p>
          <w:p w14:paraId="1C609AD5">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时间</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0EB53">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成果简介</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E10D">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hint="default" w:ascii="Times New Roman" w:hAnsi="Times New Roman" w:eastAsia="宋体" w:cs="Times New Roman"/>
                <w:b/>
                <w:bCs/>
                <w:color w:val="000000"/>
                <w:szCs w:val="21"/>
                <w:highlight w:val="yellow"/>
              </w:rPr>
            </w:pPr>
            <w:r>
              <w:rPr>
                <w:rFonts w:hint="default" w:ascii="Times New Roman" w:hAnsi="Times New Roman" w:eastAsia="宋体" w:cs="Times New Roman"/>
                <w:b/>
                <w:bCs/>
                <w:color w:val="000000"/>
                <w:kern w:val="0"/>
                <w:szCs w:val="21"/>
                <w:lang w:bidi="ar"/>
              </w:rPr>
              <w:t>学生参与情况</w:t>
            </w:r>
          </w:p>
        </w:tc>
      </w:tr>
      <w:tr w14:paraId="58A0E3E0">
        <w:tblPrEx>
          <w:tblCellMar>
            <w:top w:w="0" w:type="dxa"/>
            <w:left w:w="108" w:type="dxa"/>
            <w:bottom w:w="0" w:type="dxa"/>
            <w:right w:w="108" w:type="dxa"/>
          </w:tblCellMar>
        </w:tblPrEx>
        <w:trPr>
          <w:trHeight w:val="982"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9245D">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678F4">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 w:val="22"/>
                <w:lang w:bidi="ar"/>
              </w:rPr>
              <w:t>郭杨（202109，专业学位硕士，全日制）</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47F9B">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园冶杯国际竞赛一等奖</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61E4C">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202412</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8E9B4">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城市居住区景观形态感知模型构建与应用</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9A5D5">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团队负责人</w:t>
            </w:r>
          </w:p>
        </w:tc>
      </w:tr>
      <w:tr w14:paraId="3A1A1B92">
        <w:tblPrEx>
          <w:tblCellMar>
            <w:top w:w="0" w:type="dxa"/>
            <w:left w:w="108" w:type="dxa"/>
            <w:bottom w:w="0" w:type="dxa"/>
            <w:right w:w="108" w:type="dxa"/>
          </w:tblCellMar>
        </w:tblPrEx>
        <w:trPr>
          <w:trHeight w:val="962"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A3C4">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FAE9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lang w:bidi="ar"/>
              </w:rPr>
              <w:t>王馨（202109，专业学位硕士，全日制）</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3344E">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园冶杯国际竞赛一等奖</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234EF">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202412</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2DCE">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长沙中心片区小型 </w:t>
            </w:r>
            <w:r>
              <w:rPr>
                <w:rStyle w:val="22"/>
                <w:rFonts w:eastAsia="宋体"/>
                <w:lang w:bidi="ar"/>
              </w:rPr>
              <w:t xml:space="preserve">IGS </w:t>
            </w:r>
            <w:r>
              <w:rPr>
                <w:rStyle w:val="23"/>
                <w:rFonts w:hint="default" w:ascii="Times New Roman" w:hAnsi="Times New Roman" w:cs="Times New Roman"/>
                <w:lang w:bidi="ar"/>
              </w:rPr>
              <w:t>植物多样性与公众感知研究</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8380D">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团队负责人</w:t>
            </w:r>
          </w:p>
        </w:tc>
      </w:tr>
      <w:tr w14:paraId="3C557D7F">
        <w:tblPrEx>
          <w:tblCellMar>
            <w:top w:w="0" w:type="dxa"/>
            <w:left w:w="108" w:type="dxa"/>
            <w:bottom w:w="0" w:type="dxa"/>
            <w:right w:w="108" w:type="dxa"/>
          </w:tblCellMar>
        </w:tblPrEx>
        <w:trPr>
          <w:trHeight w:val="1002"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D6526">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AE5B5">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lang w:bidi="ar"/>
              </w:rPr>
              <w:t>盛开（202109，专业学位硕士，全日制）</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AE613">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园冶杯国际竞赛一等奖</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D507F">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202412</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EB9DE">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童趣 </w:t>
            </w:r>
            <w:r>
              <w:rPr>
                <w:rStyle w:val="22"/>
                <w:rFonts w:eastAsia="宋体"/>
                <w:lang w:bidi="ar"/>
              </w:rPr>
              <w:t>city</w:t>
            </w:r>
            <w:r>
              <w:rPr>
                <w:rStyle w:val="23"/>
                <w:rFonts w:hint="default" w:ascii="Times New Roman" w:hAnsi="Times New Roman" w:cs="Times New Roman"/>
                <w:lang w:bidi="ar"/>
              </w:rPr>
              <w:t>——基于儿童友好理念下长沙市口袋公园优化策略</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140E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团队负责人</w:t>
            </w:r>
          </w:p>
        </w:tc>
      </w:tr>
      <w:tr w14:paraId="69F170C5">
        <w:tblPrEx>
          <w:tblCellMar>
            <w:top w:w="0" w:type="dxa"/>
            <w:left w:w="108" w:type="dxa"/>
            <w:bottom w:w="0" w:type="dxa"/>
            <w:right w:w="108" w:type="dxa"/>
          </w:tblCellMar>
        </w:tblPrEx>
        <w:trPr>
          <w:trHeight w:val="60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FE792">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2317">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lang w:bidi="ar"/>
              </w:rPr>
              <w:t>杨润（202309，专业学位硕士，全日制）</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86AD4">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湖南省风景园林学科竞赛一等奖</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E68B">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202412</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7F2C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风浪守卫者——抗台风视角下三亚崖州湾智慧韧性景观概念性规划设计</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D6CD7">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highlight w:val="yellow"/>
              </w:rPr>
            </w:pPr>
            <w:r>
              <w:rPr>
                <w:rFonts w:ascii="Times New Roman" w:hAnsi="Times New Roman" w:eastAsia="宋体" w:cs="Times New Roman"/>
                <w:color w:val="000000"/>
                <w:kern w:val="0"/>
                <w:szCs w:val="21"/>
                <w:lang w:bidi="ar"/>
              </w:rPr>
              <w:t>团队负责人</w:t>
            </w:r>
          </w:p>
        </w:tc>
      </w:tr>
      <w:tr w14:paraId="06F37A6B">
        <w:tblPrEx>
          <w:tblCellMar>
            <w:top w:w="0" w:type="dxa"/>
            <w:left w:w="108" w:type="dxa"/>
            <w:bottom w:w="0" w:type="dxa"/>
            <w:right w:w="108" w:type="dxa"/>
          </w:tblCellMar>
        </w:tblPrEx>
        <w:trPr>
          <w:trHeight w:val="1418"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DABC3">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E06D3">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lang w:bidi="ar"/>
              </w:rPr>
              <w:t>程甜（202309，专业学位硕士，全日制）</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43B6">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湖南省风景园林学科竞赛一等奖</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9E690">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202412</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D0E5C">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数字赋能·五态共融——数字乡村背景下基于五态共融理念的十八洞村可持续发展概念性规划</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78AA7">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highlight w:val="yellow"/>
              </w:rPr>
            </w:pPr>
            <w:r>
              <w:rPr>
                <w:rFonts w:ascii="Times New Roman" w:hAnsi="Times New Roman" w:eastAsia="宋体" w:cs="Times New Roman"/>
                <w:color w:val="000000"/>
                <w:kern w:val="0"/>
                <w:szCs w:val="21"/>
                <w:lang w:bidi="ar"/>
              </w:rPr>
              <w:t>团队负责人</w:t>
            </w:r>
          </w:p>
        </w:tc>
      </w:tr>
      <w:tr w14:paraId="4938A4C7">
        <w:tblPrEx>
          <w:tblCellMar>
            <w:top w:w="0" w:type="dxa"/>
            <w:left w:w="108" w:type="dxa"/>
            <w:bottom w:w="0" w:type="dxa"/>
            <w:right w:w="108" w:type="dxa"/>
          </w:tblCellMar>
        </w:tblPrEx>
        <w:trPr>
          <w:trHeight w:val="60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03F7">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6</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B50E2">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lang w:bidi="ar"/>
              </w:rPr>
              <w:t>黄芮（202309，专业学位硕士，全日制）</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C5F7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湖南省风景园林学科竞赛一等奖</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577D0">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202412</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7F8D">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碳循漫旅 活漾绿芯——基于数字风碳理论下的长株</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75F2F">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ascii="Times New Roman" w:hAnsi="Times New Roman" w:eastAsia="宋体" w:cs="Times New Roman"/>
                <w:color w:val="000000"/>
                <w:szCs w:val="21"/>
                <w:highlight w:val="yellow"/>
              </w:rPr>
            </w:pPr>
            <w:r>
              <w:rPr>
                <w:rFonts w:ascii="Times New Roman" w:hAnsi="Times New Roman" w:eastAsia="宋体" w:cs="Times New Roman"/>
                <w:color w:val="000000"/>
                <w:kern w:val="0"/>
                <w:szCs w:val="21"/>
                <w:lang w:bidi="ar"/>
              </w:rPr>
              <w:t>团队负责人</w:t>
            </w:r>
          </w:p>
        </w:tc>
      </w:tr>
      <w:tr w14:paraId="3B3FC427">
        <w:tblPrEx>
          <w:tblCellMar>
            <w:top w:w="0" w:type="dxa"/>
            <w:left w:w="108" w:type="dxa"/>
            <w:bottom w:w="0" w:type="dxa"/>
            <w:right w:w="108" w:type="dxa"/>
          </w:tblCellMar>
        </w:tblPrEx>
        <w:trPr>
          <w:trHeight w:val="1408"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5BB74">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F6254">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lang w:bidi="ar"/>
              </w:rPr>
              <w:t>胡浩（202309，专业学位硕士，全日制）</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5ECE">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湖南省风景园林学科竞赛一等奖</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36C6">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202412</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8BFE">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绿动潮汐，智汇自然——基于人群时空三维潮汐变化的智慧系统概念规划</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07B35">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ascii="Times New Roman" w:hAnsi="Times New Roman" w:eastAsia="宋体" w:cs="Times New Roman"/>
                <w:color w:val="000000"/>
                <w:szCs w:val="21"/>
                <w:highlight w:val="yellow"/>
              </w:rPr>
            </w:pPr>
            <w:r>
              <w:rPr>
                <w:rFonts w:ascii="Times New Roman" w:hAnsi="Times New Roman" w:eastAsia="宋体" w:cs="Times New Roman"/>
                <w:color w:val="000000"/>
                <w:kern w:val="0"/>
                <w:szCs w:val="21"/>
                <w:lang w:bidi="ar"/>
              </w:rPr>
              <w:t>团队负责人</w:t>
            </w:r>
          </w:p>
        </w:tc>
      </w:tr>
      <w:tr w14:paraId="47AC4827">
        <w:tblPrEx>
          <w:tblCellMar>
            <w:top w:w="0" w:type="dxa"/>
            <w:left w:w="108" w:type="dxa"/>
            <w:bottom w:w="0" w:type="dxa"/>
            <w:right w:w="108" w:type="dxa"/>
          </w:tblCellMar>
        </w:tblPrEx>
        <w:trPr>
          <w:trHeight w:val="228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CEC81">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8</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E17C">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刘</w:t>
            </w:r>
            <w:r>
              <w:rPr>
                <w:rFonts w:ascii="Times New Roman" w:hAnsi="Times New Roman" w:eastAsia="宋体" w:cs="Times New Roman"/>
                <w:color w:val="000000"/>
                <w:kern w:val="0"/>
                <w:szCs w:val="21"/>
                <w:lang w:bidi="ar"/>
              </w:rPr>
              <w:t>雅靓（202209，专业学位硕士，全日制）</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C3CF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学术成果</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BD7A7">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202405</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CE82D">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《Heritage Science》发表《Spatial distribution of toponyms and formation mechanism in traditional villages in Western Hunan, China》（SCI一区收录）</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4AB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第一</w:t>
            </w:r>
          </w:p>
          <w:p w14:paraId="33E3DD44">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ascii="Times New Roman" w:hAnsi="Times New Roman" w:eastAsia="宋体" w:cs="Times New Roman"/>
                <w:color w:val="000000"/>
                <w:szCs w:val="21"/>
                <w:highlight w:val="yellow"/>
              </w:rPr>
            </w:pPr>
            <w:r>
              <w:rPr>
                <w:rFonts w:ascii="Times New Roman" w:hAnsi="Times New Roman" w:eastAsia="宋体" w:cs="Times New Roman"/>
                <w:color w:val="000000"/>
                <w:kern w:val="0"/>
                <w:szCs w:val="21"/>
                <w:lang w:bidi="ar"/>
              </w:rPr>
              <w:t>作者</w:t>
            </w:r>
          </w:p>
        </w:tc>
      </w:tr>
      <w:tr w14:paraId="32FFA816">
        <w:tblPrEx>
          <w:tblCellMar>
            <w:top w:w="0" w:type="dxa"/>
            <w:left w:w="108" w:type="dxa"/>
            <w:bottom w:w="0" w:type="dxa"/>
            <w:right w:w="108" w:type="dxa"/>
          </w:tblCellMar>
        </w:tblPrEx>
        <w:trPr>
          <w:trHeight w:val="1478"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584F6">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9</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A2EC">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刘露（202209，专业学位硕士，全日制）</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9403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学术成果</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1659B">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202405</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3CD2A">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《中国园林》发表《中国园林的跨文化传播时空特征及影响因素》（国内行业排名第一期刊）</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7B7B">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第一</w:t>
            </w:r>
          </w:p>
          <w:p w14:paraId="5742A6A3">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作者</w:t>
            </w:r>
          </w:p>
        </w:tc>
      </w:tr>
      <w:tr w14:paraId="0722457E">
        <w:tblPrEx>
          <w:tblCellMar>
            <w:top w:w="0" w:type="dxa"/>
            <w:left w:w="108" w:type="dxa"/>
            <w:bottom w:w="0" w:type="dxa"/>
            <w:right w:w="108" w:type="dxa"/>
          </w:tblCellMar>
        </w:tblPrEx>
        <w:trPr>
          <w:trHeight w:val="60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3F31">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4E344">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田珈宁（202109，专业学位硕士，全日制）</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F5E7A">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学术成果</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83FB1">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202408</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4D2E">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《Biological Control》发表《Biocontrol potential of an artificial synthetic bacterial consortium against peony root rot disease》（SCI二区TOP收录）</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27FB">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第一</w:t>
            </w:r>
          </w:p>
          <w:p w14:paraId="3FADBC6C">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作者</w:t>
            </w:r>
          </w:p>
        </w:tc>
      </w:tr>
    </w:tbl>
    <w:p w14:paraId="112D794A">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ascii="Times New Roman" w:hAnsi="Times New Roman" w:cs="Times New Roman" w:eastAsiaTheme="majorEastAsia"/>
          <w:b/>
          <w:color w:val="000000"/>
          <w:szCs w:val="21"/>
        </w:rPr>
      </w:pPr>
    </w:p>
    <w:p w14:paraId="2130EE14">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jc w:val="center"/>
        <w:textAlignment w:val="auto"/>
        <w:rPr>
          <w:rFonts w:ascii="Times New Roman" w:hAnsi="Times New Roman" w:cs="Times New Roman" w:eastAsiaTheme="majorEastAsia"/>
          <w:b/>
          <w:color w:val="000000"/>
          <w:szCs w:val="21"/>
        </w:rPr>
      </w:pPr>
      <w:r>
        <w:rPr>
          <w:rFonts w:hint="eastAsia" w:ascii="宋体" w:hAnsi="宋体" w:eastAsia="宋体" w:cs="宋体"/>
          <w:b/>
          <w:color w:val="000000"/>
          <w:szCs w:val="21"/>
        </w:rPr>
        <w:t>表4 学生就业情况</w:t>
      </w:r>
    </w:p>
    <w:tbl>
      <w:tblPr>
        <w:tblStyle w:val="12"/>
        <w:tblW w:w="8430" w:type="dxa"/>
        <w:tblInd w:w="4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80"/>
        <w:gridCol w:w="659"/>
        <w:gridCol w:w="992"/>
        <w:gridCol w:w="1032"/>
        <w:gridCol w:w="1095"/>
        <w:gridCol w:w="708"/>
        <w:gridCol w:w="709"/>
        <w:gridCol w:w="896"/>
        <w:gridCol w:w="853"/>
        <w:gridCol w:w="806"/>
      </w:tblGrid>
      <w:tr w14:paraId="7F9E6C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0" w:type="dxa"/>
            <w:vMerge w:val="restart"/>
            <w:vAlign w:val="center"/>
          </w:tcPr>
          <w:p w14:paraId="5AA2237F">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年度</w:t>
            </w:r>
          </w:p>
        </w:tc>
        <w:tc>
          <w:tcPr>
            <w:tcW w:w="659" w:type="dxa"/>
            <w:vMerge w:val="restart"/>
            <w:vAlign w:val="center"/>
          </w:tcPr>
          <w:p w14:paraId="025FC0D5">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学生</w:t>
            </w:r>
          </w:p>
          <w:p w14:paraId="6B51BFD2">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类型</w:t>
            </w:r>
          </w:p>
        </w:tc>
        <w:tc>
          <w:tcPr>
            <w:tcW w:w="992" w:type="dxa"/>
            <w:vMerge w:val="restart"/>
            <w:vAlign w:val="center"/>
          </w:tcPr>
          <w:p w14:paraId="20916787">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毕业生总数</w:t>
            </w:r>
          </w:p>
        </w:tc>
        <w:tc>
          <w:tcPr>
            <w:tcW w:w="1032" w:type="dxa"/>
            <w:vMerge w:val="restart"/>
            <w:vAlign w:val="center"/>
          </w:tcPr>
          <w:p w14:paraId="65AE2852">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授予学位数</w:t>
            </w:r>
          </w:p>
        </w:tc>
        <w:tc>
          <w:tcPr>
            <w:tcW w:w="4261" w:type="dxa"/>
            <w:gridSpan w:val="5"/>
            <w:vAlign w:val="center"/>
          </w:tcPr>
          <w:p w14:paraId="74983492">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b/>
                <w:bCs/>
                <w:kern w:val="0"/>
                <w:szCs w:val="21"/>
              </w:rPr>
            </w:pPr>
            <w:r>
              <w:rPr>
                <w:rFonts w:ascii="Times New Roman" w:hAnsi="Times New Roman" w:cs="Times New Roman" w:eastAsiaTheme="majorEastAsia"/>
                <w:b/>
                <w:bCs/>
                <w:szCs w:val="21"/>
              </w:rPr>
              <w:t>就业情况</w:t>
            </w:r>
          </w:p>
        </w:tc>
        <w:tc>
          <w:tcPr>
            <w:tcW w:w="806" w:type="dxa"/>
            <w:vMerge w:val="restart"/>
            <w:vAlign w:val="center"/>
          </w:tcPr>
          <w:p w14:paraId="69F8622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b/>
                <w:bCs/>
                <w:kern w:val="0"/>
                <w:szCs w:val="21"/>
              </w:rPr>
            </w:pPr>
            <w:r>
              <w:rPr>
                <w:rFonts w:ascii="Times New Roman" w:hAnsi="Times New Roman" w:cs="Times New Roman" w:eastAsiaTheme="majorEastAsia"/>
                <w:b/>
                <w:bCs/>
                <w:szCs w:val="21"/>
              </w:rPr>
              <w:t>就业人数及就业率</w:t>
            </w:r>
          </w:p>
        </w:tc>
      </w:tr>
      <w:tr w14:paraId="08C24B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trPr>
        <w:tc>
          <w:tcPr>
            <w:tcW w:w="680" w:type="dxa"/>
            <w:vMerge w:val="continue"/>
            <w:vAlign w:val="center"/>
          </w:tcPr>
          <w:p w14:paraId="2AD8FF84">
            <w:pPr>
              <w:keepNext w:val="0"/>
              <w:keepLines w:val="0"/>
              <w:pageBreakBefore w:val="0"/>
              <w:widowControl w:val="0"/>
              <w:kinsoku/>
              <w:wordWrap/>
              <w:overflowPunct w:val="0"/>
              <w:topLinePunct w:val="0"/>
              <w:autoSpaceDE/>
              <w:autoSpaceDN/>
              <w:bidi w:val="0"/>
              <w:ind w:left="0" w:leftChars="0" w:right="0" w:rightChars="0"/>
              <w:jc w:val="center"/>
              <w:rPr>
                <w:rFonts w:ascii="Times New Roman" w:hAnsi="Times New Roman" w:cs="Times New Roman" w:eastAsiaTheme="majorEastAsia"/>
                <w:b/>
                <w:bCs/>
                <w:szCs w:val="21"/>
              </w:rPr>
            </w:pPr>
          </w:p>
        </w:tc>
        <w:tc>
          <w:tcPr>
            <w:tcW w:w="659" w:type="dxa"/>
            <w:vMerge w:val="continue"/>
            <w:vAlign w:val="center"/>
          </w:tcPr>
          <w:p w14:paraId="21C266D6">
            <w:pPr>
              <w:keepNext w:val="0"/>
              <w:keepLines w:val="0"/>
              <w:pageBreakBefore w:val="0"/>
              <w:widowControl w:val="0"/>
              <w:kinsoku/>
              <w:wordWrap/>
              <w:overflowPunct w:val="0"/>
              <w:topLinePunct w:val="0"/>
              <w:autoSpaceDE/>
              <w:autoSpaceDN/>
              <w:bidi w:val="0"/>
              <w:ind w:left="0" w:leftChars="0" w:right="0" w:rightChars="0"/>
              <w:jc w:val="center"/>
              <w:rPr>
                <w:rFonts w:ascii="Times New Roman" w:hAnsi="Times New Roman" w:cs="Times New Roman" w:eastAsiaTheme="majorEastAsia"/>
                <w:b/>
                <w:bCs/>
                <w:szCs w:val="21"/>
              </w:rPr>
            </w:pPr>
          </w:p>
        </w:tc>
        <w:tc>
          <w:tcPr>
            <w:tcW w:w="992" w:type="dxa"/>
            <w:vMerge w:val="continue"/>
            <w:vAlign w:val="center"/>
          </w:tcPr>
          <w:p w14:paraId="65E41FFC">
            <w:pPr>
              <w:keepNext w:val="0"/>
              <w:keepLines w:val="0"/>
              <w:pageBreakBefore w:val="0"/>
              <w:widowControl w:val="0"/>
              <w:kinsoku/>
              <w:wordWrap/>
              <w:overflowPunct w:val="0"/>
              <w:topLinePunct w:val="0"/>
              <w:autoSpaceDE/>
              <w:autoSpaceDN/>
              <w:bidi w:val="0"/>
              <w:ind w:left="0" w:leftChars="0" w:right="0" w:rightChars="0"/>
              <w:jc w:val="center"/>
              <w:rPr>
                <w:rFonts w:ascii="Times New Roman" w:hAnsi="Times New Roman" w:cs="Times New Roman" w:eastAsiaTheme="majorEastAsia"/>
                <w:b/>
                <w:bCs/>
                <w:szCs w:val="21"/>
              </w:rPr>
            </w:pPr>
          </w:p>
        </w:tc>
        <w:tc>
          <w:tcPr>
            <w:tcW w:w="1032" w:type="dxa"/>
            <w:vMerge w:val="continue"/>
            <w:vAlign w:val="center"/>
          </w:tcPr>
          <w:p w14:paraId="15AAC633">
            <w:pPr>
              <w:keepNext w:val="0"/>
              <w:keepLines w:val="0"/>
              <w:pageBreakBefore w:val="0"/>
              <w:widowControl w:val="0"/>
              <w:kinsoku/>
              <w:wordWrap/>
              <w:overflowPunct w:val="0"/>
              <w:topLinePunct w:val="0"/>
              <w:autoSpaceDE/>
              <w:autoSpaceDN/>
              <w:bidi w:val="0"/>
              <w:ind w:left="0" w:leftChars="0" w:right="0" w:rightChars="0"/>
              <w:jc w:val="center"/>
              <w:rPr>
                <w:rFonts w:ascii="Times New Roman" w:hAnsi="Times New Roman" w:cs="Times New Roman" w:eastAsiaTheme="majorEastAsia"/>
                <w:b/>
                <w:bCs/>
                <w:szCs w:val="21"/>
              </w:rPr>
            </w:pPr>
          </w:p>
        </w:tc>
        <w:tc>
          <w:tcPr>
            <w:tcW w:w="1095" w:type="dxa"/>
            <w:vMerge w:val="restart"/>
            <w:vAlign w:val="center"/>
          </w:tcPr>
          <w:p w14:paraId="3B780D31">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协议和合同就业（含博士后）</w:t>
            </w:r>
          </w:p>
        </w:tc>
        <w:tc>
          <w:tcPr>
            <w:tcW w:w="708" w:type="dxa"/>
            <w:vMerge w:val="restart"/>
            <w:vAlign w:val="center"/>
          </w:tcPr>
          <w:p w14:paraId="2988B426">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自主创业</w:t>
            </w:r>
          </w:p>
        </w:tc>
        <w:tc>
          <w:tcPr>
            <w:tcW w:w="709" w:type="dxa"/>
            <w:vMerge w:val="restart"/>
            <w:vAlign w:val="center"/>
          </w:tcPr>
          <w:p w14:paraId="6C67E821">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bCs/>
                <w:spacing w:val="-20"/>
                <w:szCs w:val="21"/>
              </w:rPr>
            </w:pPr>
            <w:r>
              <w:rPr>
                <w:rFonts w:ascii="Times New Roman" w:hAnsi="Times New Roman" w:cs="Times New Roman" w:eastAsiaTheme="majorEastAsia"/>
                <w:b/>
                <w:bCs/>
                <w:szCs w:val="21"/>
              </w:rPr>
              <w:t>灵活就业</w:t>
            </w:r>
          </w:p>
        </w:tc>
        <w:tc>
          <w:tcPr>
            <w:tcW w:w="1749" w:type="dxa"/>
            <w:gridSpan w:val="2"/>
            <w:vAlign w:val="center"/>
          </w:tcPr>
          <w:p w14:paraId="664C2771">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b/>
                <w:bCs/>
                <w:kern w:val="0"/>
                <w:szCs w:val="21"/>
              </w:rPr>
            </w:pPr>
            <w:r>
              <w:rPr>
                <w:rFonts w:ascii="Times New Roman" w:hAnsi="Times New Roman" w:cs="Times New Roman" w:eastAsiaTheme="majorEastAsia"/>
                <w:b/>
                <w:bCs/>
                <w:szCs w:val="21"/>
              </w:rPr>
              <w:t>升学</w:t>
            </w:r>
          </w:p>
        </w:tc>
        <w:tc>
          <w:tcPr>
            <w:tcW w:w="806" w:type="dxa"/>
            <w:vMerge w:val="continue"/>
          </w:tcPr>
          <w:p w14:paraId="75C054DF">
            <w:pPr>
              <w:keepNext w:val="0"/>
              <w:keepLines w:val="0"/>
              <w:pageBreakBefore w:val="0"/>
              <w:widowControl w:val="0"/>
              <w:kinsoku/>
              <w:wordWrap/>
              <w:overflowPunct w:val="0"/>
              <w:topLinePunct w:val="0"/>
              <w:autoSpaceDE/>
              <w:autoSpaceDN/>
              <w:bidi w:val="0"/>
              <w:adjustRightInd w:val="0"/>
              <w:ind w:left="0" w:leftChars="0" w:right="0" w:rightChars="0"/>
              <w:jc w:val="left"/>
              <w:rPr>
                <w:rFonts w:ascii="Times New Roman" w:hAnsi="Times New Roman" w:cs="Times New Roman" w:eastAsiaTheme="majorEastAsia"/>
                <w:b/>
                <w:bCs/>
                <w:kern w:val="0"/>
                <w:szCs w:val="21"/>
              </w:rPr>
            </w:pPr>
          </w:p>
        </w:tc>
      </w:tr>
      <w:tr w14:paraId="6A779B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5" w:hRule="atLeast"/>
        </w:trPr>
        <w:tc>
          <w:tcPr>
            <w:tcW w:w="680" w:type="dxa"/>
            <w:vMerge w:val="continue"/>
            <w:vAlign w:val="center"/>
          </w:tcPr>
          <w:p w14:paraId="5AD793A2">
            <w:pPr>
              <w:keepNext w:val="0"/>
              <w:keepLines w:val="0"/>
              <w:pageBreakBefore w:val="0"/>
              <w:widowControl w:val="0"/>
              <w:kinsoku/>
              <w:wordWrap/>
              <w:overflowPunct w:val="0"/>
              <w:topLinePunct w:val="0"/>
              <w:autoSpaceDE/>
              <w:autoSpaceDN/>
              <w:bidi w:val="0"/>
              <w:ind w:left="0" w:leftChars="0" w:right="0" w:rightChars="0"/>
              <w:jc w:val="center"/>
              <w:rPr>
                <w:rFonts w:ascii="Times New Roman" w:hAnsi="Times New Roman" w:cs="Times New Roman" w:eastAsiaTheme="majorEastAsia"/>
                <w:b/>
                <w:bCs/>
                <w:szCs w:val="21"/>
              </w:rPr>
            </w:pPr>
          </w:p>
        </w:tc>
        <w:tc>
          <w:tcPr>
            <w:tcW w:w="659" w:type="dxa"/>
            <w:vMerge w:val="continue"/>
            <w:vAlign w:val="center"/>
          </w:tcPr>
          <w:p w14:paraId="5BDC4D42">
            <w:pPr>
              <w:keepNext w:val="0"/>
              <w:keepLines w:val="0"/>
              <w:pageBreakBefore w:val="0"/>
              <w:widowControl w:val="0"/>
              <w:kinsoku/>
              <w:wordWrap/>
              <w:overflowPunct w:val="0"/>
              <w:topLinePunct w:val="0"/>
              <w:autoSpaceDE/>
              <w:autoSpaceDN/>
              <w:bidi w:val="0"/>
              <w:ind w:left="0" w:leftChars="0" w:right="0" w:rightChars="0"/>
              <w:jc w:val="center"/>
              <w:rPr>
                <w:rFonts w:ascii="Times New Roman" w:hAnsi="Times New Roman" w:cs="Times New Roman" w:eastAsiaTheme="majorEastAsia"/>
                <w:b/>
                <w:bCs/>
                <w:szCs w:val="21"/>
              </w:rPr>
            </w:pPr>
          </w:p>
        </w:tc>
        <w:tc>
          <w:tcPr>
            <w:tcW w:w="992" w:type="dxa"/>
            <w:vMerge w:val="continue"/>
            <w:vAlign w:val="center"/>
          </w:tcPr>
          <w:p w14:paraId="00F1C990">
            <w:pPr>
              <w:keepNext w:val="0"/>
              <w:keepLines w:val="0"/>
              <w:pageBreakBefore w:val="0"/>
              <w:widowControl w:val="0"/>
              <w:kinsoku/>
              <w:wordWrap/>
              <w:overflowPunct w:val="0"/>
              <w:topLinePunct w:val="0"/>
              <w:autoSpaceDE/>
              <w:autoSpaceDN/>
              <w:bidi w:val="0"/>
              <w:ind w:left="0" w:leftChars="0" w:right="0" w:rightChars="0"/>
              <w:jc w:val="center"/>
              <w:rPr>
                <w:rFonts w:ascii="Times New Roman" w:hAnsi="Times New Roman" w:cs="Times New Roman" w:eastAsiaTheme="majorEastAsia"/>
                <w:b/>
                <w:bCs/>
                <w:szCs w:val="21"/>
              </w:rPr>
            </w:pPr>
          </w:p>
        </w:tc>
        <w:tc>
          <w:tcPr>
            <w:tcW w:w="1032" w:type="dxa"/>
            <w:vMerge w:val="continue"/>
            <w:vAlign w:val="center"/>
          </w:tcPr>
          <w:p w14:paraId="61B651B8">
            <w:pPr>
              <w:keepNext w:val="0"/>
              <w:keepLines w:val="0"/>
              <w:pageBreakBefore w:val="0"/>
              <w:widowControl w:val="0"/>
              <w:kinsoku/>
              <w:wordWrap/>
              <w:overflowPunct w:val="0"/>
              <w:topLinePunct w:val="0"/>
              <w:autoSpaceDE/>
              <w:autoSpaceDN/>
              <w:bidi w:val="0"/>
              <w:ind w:left="0" w:leftChars="0" w:right="0" w:rightChars="0"/>
              <w:jc w:val="center"/>
              <w:rPr>
                <w:rFonts w:ascii="Times New Roman" w:hAnsi="Times New Roman" w:cs="Times New Roman" w:eastAsiaTheme="majorEastAsia"/>
                <w:b/>
                <w:bCs/>
                <w:szCs w:val="21"/>
              </w:rPr>
            </w:pPr>
          </w:p>
        </w:tc>
        <w:tc>
          <w:tcPr>
            <w:tcW w:w="1095" w:type="dxa"/>
            <w:vMerge w:val="continue"/>
            <w:vAlign w:val="center"/>
          </w:tcPr>
          <w:p w14:paraId="4220F98C">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bCs/>
                <w:szCs w:val="21"/>
              </w:rPr>
            </w:pPr>
          </w:p>
        </w:tc>
        <w:tc>
          <w:tcPr>
            <w:tcW w:w="708" w:type="dxa"/>
            <w:vMerge w:val="continue"/>
            <w:vAlign w:val="center"/>
          </w:tcPr>
          <w:p w14:paraId="7A443A1C">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bCs/>
                <w:szCs w:val="21"/>
              </w:rPr>
            </w:pPr>
          </w:p>
        </w:tc>
        <w:tc>
          <w:tcPr>
            <w:tcW w:w="709" w:type="dxa"/>
            <w:vMerge w:val="continue"/>
            <w:vAlign w:val="center"/>
          </w:tcPr>
          <w:p w14:paraId="59F81395">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bCs/>
                <w:szCs w:val="21"/>
              </w:rPr>
            </w:pPr>
          </w:p>
        </w:tc>
        <w:tc>
          <w:tcPr>
            <w:tcW w:w="896" w:type="dxa"/>
            <w:vAlign w:val="center"/>
          </w:tcPr>
          <w:p w14:paraId="2D357C4C">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境内</w:t>
            </w:r>
          </w:p>
        </w:tc>
        <w:tc>
          <w:tcPr>
            <w:tcW w:w="853" w:type="dxa"/>
            <w:vAlign w:val="center"/>
          </w:tcPr>
          <w:p w14:paraId="0A64E871">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境外</w:t>
            </w:r>
          </w:p>
        </w:tc>
        <w:tc>
          <w:tcPr>
            <w:tcW w:w="806" w:type="dxa"/>
            <w:vMerge w:val="continue"/>
          </w:tcPr>
          <w:p w14:paraId="5F82CF98">
            <w:pPr>
              <w:keepNext w:val="0"/>
              <w:keepLines w:val="0"/>
              <w:pageBreakBefore w:val="0"/>
              <w:widowControl w:val="0"/>
              <w:kinsoku/>
              <w:wordWrap/>
              <w:overflowPunct w:val="0"/>
              <w:topLinePunct w:val="0"/>
              <w:autoSpaceDE/>
              <w:autoSpaceDN/>
              <w:bidi w:val="0"/>
              <w:adjustRightInd w:val="0"/>
              <w:ind w:left="0" w:leftChars="0" w:right="0" w:rightChars="0"/>
              <w:jc w:val="left"/>
              <w:rPr>
                <w:rFonts w:ascii="Times New Roman" w:hAnsi="Times New Roman" w:cs="Times New Roman" w:eastAsiaTheme="majorEastAsia"/>
                <w:b/>
                <w:bCs/>
                <w:kern w:val="0"/>
                <w:szCs w:val="21"/>
              </w:rPr>
            </w:pPr>
          </w:p>
        </w:tc>
      </w:tr>
      <w:tr w14:paraId="3851A5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0" w:type="dxa"/>
            <w:vAlign w:val="center"/>
          </w:tcPr>
          <w:p w14:paraId="06FEC24C">
            <w:pPr>
              <w:keepNext w:val="0"/>
              <w:keepLines w:val="0"/>
              <w:pageBreakBefore w:val="0"/>
              <w:widowControl w:val="0"/>
              <w:kinsoku/>
              <w:wordWrap/>
              <w:overflowPunct w:val="0"/>
              <w:topLinePunct w:val="0"/>
              <w:autoSpaceDE/>
              <w:autoSpaceDN/>
              <w:bidi w:val="0"/>
              <w:ind w:left="0" w:leftChars="0" w:right="0" w:rightChars="0"/>
              <w:jc w:val="center"/>
              <w:rPr>
                <w:rFonts w:ascii="Times New Roman" w:hAnsi="Times New Roman" w:cs="Times New Roman" w:eastAsiaTheme="majorEastAsia"/>
                <w:szCs w:val="21"/>
              </w:rPr>
            </w:pPr>
            <w:r>
              <w:rPr>
                <w:rFonts w:ascii="Times New Roman" w:hAnsi="Times New Roman" w:cs="Times New Roman" w:eastAsiaTheme="majorEastAsia"/>
                <w:szCs w:val="21"/>
              </w:rPr>
              <w:t>2024</w:t>
            </w:r>
          </w:p>
        </w:tc>
        <w:tc>
          <w:tcPr>
            <w:tcW w:w="659" w:type="dxa"/>
            <w:vAlign w:val="center"/>
          </w:tcPr>
          <w:p w14:paraId="7EE9F0B1">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ascii="Times New Roman" w:hAnsi="Times New Roman" w:cs="Times New Roman" w:eastAsiaTheme="majorEastAsia"/>
                <w:szCs w:val="21"/>
              </w:rPr>
            </w:pPr>
            <w:r>
              <w:rPr>
                <w:rFonts w:ascii="Times New Roman" w:hAnsi="Times New Roman" w:cs="Times New Roman" w:eastAsiaTheme="majorEastAsia"/>
                <w:color w:val="000000"/>
                <w:kern w:val="0"/>
                <w:szCs w:val="21"/>
              </w:rPr>
              <w:t>硕士</w:t>
            </w:r>
          </w:p>
        </w:tc>
        <w:tc>
          <w:tcPr>
            <w:tcW w:w="992" w:type="dxa"/>
            <w:vAlign w:val="center"/>
          </w:tcPr>
          <w:p w14:paraId="6B02F9BB">
            <w:pPr>
              <w:keepNext w:val="0"/>
              <w:keepLines w:val="0"/>
              <w:pageBreakBefore w:val="0"/>
              <w:widowControl w:val="0"/>
              <w:kinsoku/>
              <w:wordWrap/>
              <w:overflowPunct w:val="0"/>
              <w:topLinePunct w:val="0"/>
              <w:autoSpaceDE/>
              <w:autoSpaceDN/>
              <w:bidi w:val="0"/>
              <w:ind w:left="0" w:leftChars="0" w:right="0" w:rightChars="0"/>
              <w:jc w:val="center"/>
              <w:rPr>
                <w:rFonts w:ascii="Times New Roman" w:hAnsi="Times New Roman" w:cs="Times New Roman" w:eastAsiaTheme="majorEastAsia"/>
                <w:szCs w:val="21"/>
              </w:rPr>
            </w:pPr>
            <w:r>
              <w:rPr>
                <w:rFonts w:ascii="Times New Roman" w:hAnsi="Times New Roman" w:cs="Times New Roman" w:eastAsiaTheme="majorEastAsia"/>
                <w:szCs w:val="21"/>
              </w:rPr>
              <w:t>73</w:t>
            </w:r>
          </w:p>
        </w:tc>
        <w:tc>
          <w:tcPr>
            <w:tcW w:w="1032" w:type="dxa"/>
            <w:vAlign w:val="center"/>
          </w:tcPr>
          <w:p w14:paraId="7B5FA795">
            <w:pPr>
              <w:keepNext w:val="0"/>
              <w:keepLines w:val="0"/>
              <w:pageBreakBefore w:val="0"/>
              <w:widowControl w:val="0"/>
              <w:kinsoku/>
              <w:wordWrap/>
              <w:overflowPunct w:val="0"/>
              <w:topLinePunct w:val="0"/>
              <w:autoSpaceDE/>
              <w:autoSpaceDN/>
              <w:bidi w:val="0"/>
              <w:ind w:left="0" w:leftChars="0" w:right="0" w:rightChars="0"/>
              <w:jc w:val="center"/>
              <w:rPr>
                <w:rFonts w:ascii="Times New Roman" w:hAnsi="Times New Roman" w:cs="Times New Roman" w:eastAsiaTheme="majorEastAsia"/>
                <w:szCs w:val="21"/>
              </w:rPr>
            </w:pPr>
            <w:r>
              <w:rPr>
                <w:rFonts w:ascii="Times New Roman" w:hAnsi="Times New Roman" w:cs="Times New Roman" w:eastAsiaTheme="majorEastAsia"/>
                <w:szCs w:val="21"/>
              </w:rPr>
              <w:t>73</w:t>
            </w:r>
          </w:p>
        </w:tc>
        <w:tc>
          <w:tcPr>
            <w:tcW w:w="1095" w:type="dxa"/>
            <w:vAlign w:val="center"/>
          </w:tcPr>
          <w:p w14:paraId="53519981">
            <w:pPr>
              <w:keepNext w:val="0"/>
              <w:keepLines w:val="0"/>
              <w:pageBreakBefore w:val="0"/>
              <w:widowControl w:val="0"/>
              <w:kinsoku/>
              <w:wordWrap/>
              <w:overflowPunct w:val="0"/>
              <w:topLinePunct w:val="0"/>
              <w:autoSpaceDE/>
              <w:autoSpaceDN/>
              <w:bidi w:val="0"/>
              <w:ind w:left="0" w:leftChars="0" w:right="0" w:rightChars="0"/>
              <w:jc w:val="center"/>
              <w:rPr>
                <w:rFonts w:ascii="Times New Roman" w:hAnsi="Times New Roman" w:cs="Times New Roman" w:eastAsiaTheme="majorEastAsia"/>
                <w:szCs w:val="21"/>
              </w:rPr>
            </w:pPr>
            <w:r>
              <w:rPr>
                <w:rFonts w:ascii="Times New Roman" w:hAnsi="Times New Roman" w:cs="Times New Roman" w:eastAsiaTheme="majorEastAsia"/>
                <w:szCs w:val="21"/>
              </w:rPr>
              <w:t>45</w:t>
            </w:r>
          </w:p>
        </w:tc>
        <w:tc>
          <w:tcPr>
            <w:tcW w:w="708" w:type="dxa"/>
            <w:vAlign w:val="center"/>
          </w:tcPr>
          <w:p w14:paraId="1EB8A090">
            <w:pPr>
              <w:keepNext w:val="0"/>
              <w:keepLines w:val="0"/>
              <w:pageBreakBefore w:val="0"/>
              <w:widowControl w:val="0"/>
              <w:kinsoku/>
              <w:wordWrap/>
              <w:overflowPunct w:val="0"/>
              <w:topLinePunct w:val="0"/>
              <w:autoSpaceDE/>
              <w:autoSpaceDN/>
              <w:bidi w:val="0"/>
              <w:ind w:left="0" w:leftChars="0" w:right="0" w:rightChars="0"/>
              <w:jc w:val="center"/>
              <w:rPr>
                <w:rFonts w:ascii="Times New Roman" w:hAnsi="Times New Roman" w:cs="Times New Roman" w:eastAsiaTheme="majorEastAsia"/>
                <w:szCs w:val="21"/>
              </w:rPr>
            </w:pPr>
            <w:r>
              <w:rPr>
                <w:rFonts w:ascii="Times New Roman" w:hAnsi="Times New Roman" w:cs="Times New Roman" w:eastAsiaTheme="majorEastAsia"/>
                <w:szCs w:val="21"/>
              </w:rPr>
              <w:t>1</w:t>
            </w:r>
          </w:p>
        </w:tc>
        <w:tc>
          <w:tcPr>
            <w:tcW w:w="709" w:type="dxa"/>
            <w:vAlign w:val="center"/>
          </w:tcPr>
          <w:p w14:paraId="35E743EA">
            <w:pPr>
              <w:keepNext w:val="0"/>
              <w:keepLines w:val="0"/>
              <w:pageBreakBefore w:val="0"/>
              <w:widowControl w:val="0"/>
              <w:kinsoku/>
              <w:wordWrap/>
              <w:overflowPunct w:val="0"/>
              <w:topLinePunct w:val="0"/>
              <w:autoSpaceDE/>
              <w:autoSpaceDN/>
              <w:bidi w:val="0"/>
              <w:ind w:left="0" w:leftChars="0" w:right="0" w:rightChars="0"/>
              <w:jc w:val="center"/>
              <w:rPr>
                <w:rFonts w:ascii="Times New Roman" w:hAnsi="Times New Roman" w:cs="Times New Roman" w:eastAsiaTheme="majorEastAsia"/>
                <w:szCs w:val="21"/>
              </w:rPr>
            </w:pPr>
            <w:r>
              <w:rPr>
                <w:rFonts w:ascii="Times New Roman" w:hAnsi="Times New Roman" w:cs="Times New Roman" w:eastAsiaTheme="majorEastAsia"/>
                <w:szCs w:val="21"/>
              </w:rPr>
              <w:t>21</w:t>
            </w:r>
          </w:p>
        </w:tc>
        <w:tc>
          <w:tcPr>
            <w:tcW w:w="896" w:type="dxa"/>
            <w:vAlign w:val="center"/>
          </w:tcPr>
          <w:p w14:paraId="07101788">
            <w:pPr>
              <w:keepNext w:val="0"/>
              <w:keepLines w:val="0"/>
              <w:pageBreakBefore w:val="0"/>
              <w:widowControl w:val="0"/>
              <w:kinsoku/>
              <w:wordWrap/>
              <w:overflowPunct w:val="0"/>
              <w:topLinePunct w:val="0"/>
              <w:autoSpaceDE/>
              <w:autoSpaceDN/>
              <w:bidi w:val="0"/>
              <w:ind w:left="0" w:leftChars="0" w:right="0" w:rightChars="0"/>
              <w:jc w:val="center"/>
              <w:rPr>
                <w:rFonts w:ascii="Times New Roman" w:hAnsi="Times New Roman" w:cs="Times New Roman" w:eastAsiaTheme="majorEastAsia"/>
                <w:szCs w:val="21"/>
              </w:rPr>
            </w:pPr>
            <w:r>
              <w:rPr>
                <w:rFonts w:ascii="Times New Roman" w:hAnsi="Times New Roman" w:cs="Times New Roman" w:eastAsiaTheme="majorEastAsia"/>
                <w:szCs w:val="21"/>
              </w:rPr>
              <w:t>0</w:t>
            </w:r>
          </w:p>
        </w:tc>
        <w:tc>
          <w:tcPr>
            <w:tcW w:w="853" w:type="dxa"/>
            <w:vAlign w:val="center"/>
          </w:tcPr>
          <w:p w14:paraId="1BD25338">
            <w:pPr>
              <w:keepNext w:val="0"/>
              <w:keepLines w:val="0"/>
              <w:pageBreakBefore w:val="0"/>
              <w:widowControl w:val="0"/>
              <w:kinsoku/>
              <w:wordWrap/>
              <w:overflowPunct w:val="0"/>
              <w:topLinePunct w:val="0"/>
              <w:autoSpaceDE/>
              <w:autoSpaceDN/>
              <w:bidi w:val="0"/>
              <w:ind w:left="0" w:leftChars="0" w:right="0" w:rightChars="0"/>
              <w:jc w:val="center"/>
              <w:rPr>
                <w:rFonts w:ascii="Times New Roman" w:hAnsi="Times New Roman" w:cs="Times New Roman" w:eastAsiaTheme="majorEastAsia"/>
                <w:szCs w:val="21"/>
              </w:rPr>
            </w:pPr>
            <w:r>
              <w:rPr>
                <w:rFonts w:ascii="Times New Roman" w:hAnsi="Times New Roman" w:cs="Times New Roman" w:eastAsiaTheme="majorEastAsia"/>
                <w:szCs w:val="21"/>
              </w:rPr>
              <w:t>0</w:t>
            </w:r>
          </w:p>
        </w:tc>
        <w:tc>
          <w:tcPr>
            <w:tcW w:w="806" w:type="dxa"/>
          </w:tcPr>
          <w:p w14:paraId="739C1DA9">
            <w:pPr>
              <w:keepNext w:val="0"/>
              <w:keepLines w:val="0"/>
              <w:pageBreakBefore w:val="0"/>
              <w:widowControl w:val="0"/>
              <w:kinsoku/>
              <w:wordWrap/>
              <w:overflowPunct w:val="0"/>
              <w:topLinePunct w:val="0"/>
              <w:autoSpaceDE/>
              <w:autoSpaceDN/>
              <w:bidi w:val="0"/>
              <w:adjustRightInd w:val="0"/>
              <w:ind w:left="0" w:leftChars="0" w:right="0" w:rightChars="0"/>
              <w:jc w:val="left"/>
              <w:rPr>
                <w:rFonts w:ascii="Times New Roman" w:hAnsi="Times New Roman" w:cs="Times New Roman" w:eastAsiaTheme="majorEastAsia"/>
                <w:kern w:val="0"/>
                <w:szCs w:val="21"/>
              </w:rPr>
            </w:pPr>
            <w:r>
              <w:rPr>
                <w:rFonts w:ascii="Times New Roman" w:hAnsi="Times New Roman" w:cs="Times New Roman" w:eastAsiaTheme="majorEastAsia"/>
                <w:kern w:val="0"/>
                <w:szCs w:val="21"/>
              </w:rPr>
              <w:t>91.8%</w:t>
            </w:r>
          </w:p>
        </w:tc>
      </w:tr>
    </w:tbl>
    <w:p w14:paraId="40337B83">
      <w:pPr>
        <w:pStyle w:val="4"/>
        <w:keepNext w:val="0"/>
        <w:keepLines w:val="0"/>
        <w:pageBreakBefore w:val="0"/>
        <w:widowControl w:val="0"/>
        <w:kinsoku/>
        <w:wordWrap/>
        <w:overflowPunct w:val="0"/>
        <w:topLinePunct w:val="0"/>
        <w:autoSpaceDE/>
        <w:autoSpaceDN/>
        <w:bidi w:val="0"/>
        <w:adjustRightInd/>
        <w:snapToGrid w:val="0"/>
        <w:spacing w:before="132" w:beforeLines="30" w:line="360" w:lineRule="auto"/>
        <w:ind w:left="0" w:leftChars="0" w:right="0" w:rightChars="0" w:firstLine="560" w:firstLineChars="200"/>
        <w:jc w:val="left"/>
        <w:textAlignment w:val="auto"/>
        <w:rPr>
          <w:rFonts w:hint="default" w:ascii="黑体" w:hAnsi="黑体" w:eastAsia="黑体" w:cs="黑体"/>
          <w:b w:val="0"/>
          <w:bCs/>
          <w:sz w:val="28"/>
          <w:szCs w:val="28"/>
          <w:lang w:val="en-US" w:eastAsia="zh-CN"/>
        </w:rPr>
      </w:pPr>
      <w:bookmarkStart w:id="9" w:name="_Toc29692"/>
      <w:r>
        <w:rPr>
          <w:rFonts w:hint="eastAsia"/>
          <w:b w:val="0"/>
          <w:bCs/>
          <w:sz w:val="28"/>
          <w:szCs w:val="28"/>
          <w:lang w:eastAsia="zh-CN"/>
        </w:rPr>
        <w:t>（</w:t>
      </w:r>
      <w:r>
        <w:rPr>
          <w:rFonts w:hint="eastAsia"/>
          <w:b w:val="0"/>
          <w:bCs/>
          <w:sz w:val="28"/>
          <w:szCs w:val="28"/>
          <w:lang w:val="en-US" w:eastAsia="zh-CN"/>
        </w:rPr>
        <w:t>二</w:t>
      </w:r>
      <w:r>
        <w:rPr>
          <w:rFonts w:hint="eastAsia"/>
          <w:b w:val="0"/>
          <w:bCs/>
          <w:sz w:val="28"/>
          <w:szCs w:val="28"/>
          <w:lang w:eastAsia="zh-CN"/>
        </w:rPr>
        <w:t>）</w:t>
      </w:r>
      <w:r>
        <w:rPr>
          <w:rFonts w:hint="default" w:ascii="黑体" w:hAnsi="黑体" w:eastAsia="黑体" w:cs="黑体"/>
          <w:b w:val="0"/>
          <w:bCs/>
          <w:sz w:val="28"/>
          <w:szCs w:val="28"/>
          <w:lang w:val="en-US" w:eastAsia="zh-CN"/>
        </w:rPr>
        <w:t>师资队伍</w:t>
      </w:r>
      <w:bookmarkEnd w:id="9"/>
    </w:p>
    <w:p w14:paraId="677E6D00">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firstLine="480" w:firstLineChars="200"/>
        <w:jc w:val="left"/>
        <w:textAlignment w:val="auto"/>
        <w:outlineLvl w:val="2"/>
        <w:rPr>
          <w:rStyle w:val="27"/>
          <w:rFonts w:hint="eastAsia" w:ascii="黑体" w:hAnsi="黑体" w:eastAsia="黑体" w:cs="黑体"/>
          <w:b w:val="0"/>
          <w:bCs/>
          <w:sz w:val="24"/>
          <w:szCs w:val="24"/>
          <w:lang w:val="en-US" w:eastAsia="zh-CN"/>
        </w:rPr>
      </w:pPr>
      <w:r>
        <w:rPr>
          <w:rStyle w:val="27"/>
          <w:rFonts w:hint="eastAsia" w:ascii="黑体" w:hAnsi="黑体" w:eastAsia="黑体" w:cs="黑体"/>
          <w:b w:val="0"/>
          <w:bCs/>
          <w:sz w:val="24"/>
          <w:szCs w:val="24"/>
          <w:lang w:val="en-US" w:eastAsia="zh-CN"/>
        </w:rPr>
        <w:t>1.师德师风建设机制与成效</w:t>
      </w:r>
    </w:p>
    <w:p w14:paraId="70D05339">
      <w:pPr>
        <w:pStyle w:val="5"/>
        <w:keepNext w:val="0"/>
        <w:keepLines w:val="0"/>
        <w:pageBreakBefore w:val="0"/>
        <w:widowControl w:val="0"/>
        <w:kinsoku/>
        <w:wordWrap/>
        <w:overflowPunct w:val="0"/>
        <w:topLinePunct w:val="0"/>
        <w:autoSpaceDE/>
        <w:autoSpaceDN/>
        <w:bidi w:val="0"/>
        <w:adjustRightInd/>
        <w:snapToGrid w:val="0"/>
        <w:spacing w:before="0" w:beforeLines="0" w:after="0" w:afterLines="0" w:line="360" w:lineRule="auto"/>
        <w:ind w:left="0" w:leftChars="0" w:right="0" w:rightChars="0"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（1）建设机制</w:t>
      </w:r>
    </w:p>
    <w:p w14:paraId="5100D74C">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default" w:ascii="Times New Roman" w:hAnsi="Times New Roman" w:eastAsia="宋体" w:cs="Times New Roman"/>
          <w:color w:val="000000"/>
          <w:kern w:val="0"/>
          <w:sz w:val="24"/>
          <w:szCs w:val="24"/>
          <w:lang w:bidi="ar"/>
        </w:rPr>
        <w:t>本学位点始终将师德师风建设作为教师队伍建设的核心任务， 严格遵循学校《教师师德师风行为准则》，从教学规范、科研诚信、师生交往等维度明确教师职业行为准则。系统开展师德专题培训，组织教育法规深度解读、师德楷模事迹宣讲、优秀教学案例研讨等活动，年均开展专题讲座8场、专题研讨12次，覆盖率达100%。学院党委书记、院长为第一责任人，学科负</w:t>
      </w:r>
      <w:r>
        <w:rPr>
          <w:rFonts w:hint="eastAsia" w:ascii="宋体" w:hAnsi="宋体" w:eastAsia="宋体" w:cs="宋体"/>
          <w:color w:val="000000"/>
          <w:kern w:val="0"/>
          <w:sz w:val="24"/>
          <w:szCs w:val="24"/>
          <w:lang w:bidi="ar"/>
        </w:rPr>
        <w:t>责人、系主任、支部书记为直接责任人，对师德失范行为实行</w:t>
      </w:r>
      <w:r>
        <w:rPr>
          <w:rFonts w:hint="default"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零容忍”。融合学生评教、督导考评等多维数据，开发师德量化评价系统，将考核结果与教师职称晋升、岗位聘任等关键环节深度挂钩，实行师德"一票否决制"。</w:t>
      </w:r>
    </w:p>
    <w:p w14:paraId="7B169F57">
      <w:pPr>
        <w:pStyle w:val="5"/>
        <w:keepNext w:val="0"/>
        <w:keepLines w:val="0"/>
        <w:pageBreakBefore w:val="0"/>
        <w:widowControl w:val="0"/>
        <w:kinsoku/>
        <w:wordWrap/>
        <w:overflowPunct w:val="0"/>
        <w:topLinePunct w:val="0"/>
        <w:autoSpaceDE/>
        <w:autoSpaceDN/>
        <w:bidi w:val="0"/>
        <w:adjustRightInd/>
        <w:snapToGrid w:val="0"/>
        <w:spacing w:before="0" w:beforeLines="0" w:after="0" w:afterLines="0" w:line="360" w:lineRule="auto"/>
        <w:ind w:left="0" w:leftChars="0" w:right="0" w:rightChars="0"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（2）建设成效</w:t>
      </w:r>
    </w:p>
    <w:p w14:paraId="0081B05D">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建设师德师风建设成效显著，形成</w:t>
      </w:r>
      <w:r>
        <w:rPr>
          <w:rFonts w:hint="default"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以德立教、以德育人”的良好生态。</w:t>
      </w:r>
    </w:p>
    <w:p w14:paraId="37034857">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b/>
          <w:color w:val="000000"/>
          <w:szCs w:val="21"/>
        </w:rPr>
      </w:pPr>
      <w:r>
        <w:rPr>
          <w:rFonts w:hint="eastAsia" w:ascii="宋体" w:hAnsi="宋体" w:eastAsia="宋体" w:cs="宋体"/>
          <w:color w:val="000000"/>
          <w:kern w:val="0"/>
          <w:sz w:val="24"/>
          <w:szCs w:val="24"/>
          <w:lang w:bidi="ar"/>
        </w:rPr>
        <w:t>育人质量显著提升，教师团队指导学生获国家级、省级竞赛奖项27项，陈存友、邢文、胡希军、陈家骜、胡文敏、王薇薇、薛行健、詹文等多位老师获优秀指导教师。王清扬老师获评</w:t>
      </w:r>
      <w:r>
        <w:rPr>
          <w:rFonts w:hint="default"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湖南省高校辅导员年度人物”（全</w:t>
      </w:r>
      <w:r>
        <w:rPr>
          <w:rFonts w:hint="default" w:ascii="Times New Roman" w:hAnsi="Times New Roman" w:eastAsia="宋体" w:cs="Times New Roman"/>
          <w:color w:val="000000"/>
          <w:kern w:val="0"/>
          <w:sz w:val="24"/>
          <w:szCs w:val="24"/>
          <w:lang w:bidi="ar"/>
        </w:rPr>
        <w:t>省仅10人），2人次获评省级思政教育先进个人。学位点现有湖南省优秀导师团队1个、湖南省研究生优秀教学团队2个、湖南省优秀导师1名，获湖南省研究生思想政治教育研究与实践先进个人表彰2人次。</w:t>
      </w:r>
    </w:p>
    <w:p w14:paraId="6209DC04">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jc w:val="center"/>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表5 师德师风建设成效</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2"/>
        <w:gridCol w:w="3874"/>
        <w:gridCol w:w="1560"/>
        <w:gridCol w:w="2286"/>
      </w:tblGrid>
      <w:tr w14:paraId="15AF2C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tcPr>
          <w:p w14:paraId="6ED47A94">
            <w:pPr>
              <w:keepNext w:val="0"/>
              <w:keepLines w:val="0"/>
              <w:pageBreakBefore w:val="0"/>
              <w:widowControl w:val="0"/>
              <w:kinsoku/>
              <w:wordWrap/>
              <w:overflowPunct w:val="0"/>
              <w:topLinePunct w:val="0"/>
              <w:autoSpaceDE/>
              <w:autoSpaceDN/>
              <w:bidi w:val="0"/>
              <w:adjustRightInd w:val="0"/>
              <w:ind w:left="0" w:leftChars="0" w:right="0" w:rightChars="0"/>
              <w:jc w:val="center"/>
              <w:rPr>
                <w:rFonts w:hint="default" w:ascii="Times New Roman" w:hAnsi="Times New Roman" w:cs="Times New Roman" w:eastAsiaTheme="majorEastAsia"/>
                <w:b/>
                <w:bCs/>
                <w:szCs w:val="21"/>
              </w:rPr>
            </w:pPr>
            <w:r>
              <w:rPr>
                <w:rFonts w:hint="default" w:ascii="Times New Roman" w:hAnsi="Times New Roman" w:cs="Times New Roman" w:eastAsiaTheme="majorEastAsia"/>
                <w:b/>
                <w:bCs/>
                <w:szCs w:val="21"/>
              </w:rPr>
              <w:t>序号</w:t>
            </w:r>
          </w:p>
        </w:tc>
        <w:tc>
          <w:tcPr>
            <w:tcW w:w="3874" w:type="dxa"/>
            <w:vAlign w:val="center"/>
          </w:tcPr>
          <w:p w14:paraId="0AA96CE1">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eastAsiaTheme="majorEastAsia"/>
                <w:b/>
                <w:bCs/>
                <w:szCs w:val="21"/>
              </w:rPr>
            </w:pPr>
            <w:r>
              <w:rPr>
                <w:rFonts w:hint="default" w:ascii="Times New Roman" w:hAnsi="Times New Roman" w:cs="Times New Roman" w:eastAsiaTheme="majorEastAsia"/>
                <w:b/>
                <w:bCs/>
                <w:szCs w:val="21"/>
              </w:rPr>
              <w:t>荣誉表彰</w:t>
            </w:r>
          </w:p>
        </w:tc>
        <w:tc>
          <w:tcPr>
            <w:tcW w:w="1560" w:type="dxa"/>
            <w:vAlign w:val="center"/>
          </w:tcPr>
          <w:p w14:paraId="64DE83BB">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eastAsiaTheme="majorEastAsia"/>
                <w:b/>
                <w:bCs/>
                <w:szCs w:val="21"/>
              </w:rPr>
            </w:pPr>
            <w:r>
              <w:rPr>
                <w:rFonts w:hint="default" w:ascii="Times New Roman" w:hAnsi="Times New Roman" w:cs="Times New Roman" w:eastAsiaTheme="majorEastAsia"/>
                <w:b/>
                <w:bCs/>
                <w:szCs w:val="21"/>
              </w:rPr>
              <w:t>获得者</w:t>
            </w:r>
          </w:p>
        </w:tc>
        <w:tc>
          <w:tcPr>
            <w:tcW w:w="2286" w:type="dxa"/>
          </w:tcPr>
          <w:p w14:paraId="0DC16EF8">
            <w:pPr>
              <w:keepNext w:val="0"/>
              <w:keepLines w:val="0"/>
              <w:pageBreakBefore w:val="0"/>
              <w:widowControl w:val="0"/>
              <w:kinsoku/>
              <w:wordWrap/>
              <w:overflowPunct w:val="0"/>
              <w:topLinePunct w:val="0"/>
              <w:autoSpaceDE/>
              <w:autoSpaceDN/>
              <w:bidi w:val="0"/>
              <w:adjustRightInd w:val="0"/>
              <w:ind w:left="0" w:leftChars="0" w:right="0" w:rightChars="0"/>
              <w:jc w:val="center"/>
              <w:rPr>
                <w:rFonts w:hint="default" w:ascii="Times New Roman" w:hAnsi="Times New Roman" w:cs="Times New Roman" w:eastAsiaTheme="majorEastAsia"/>
                <w:b/>
                <w:bCs/>
                <w:szCs w:val="21"/>
              </w:rPr>
            </w:pPr>
            <w:r>
              <w:rPr>
                <w:rFonts w:hint="default" w:ascii="Times New Roman" w:hAnsi="Times New Roman" w:cs="Times New Roman" w:eastAsiaTheme="majorEastAsia"/>
                <w:b/>
                <w:bCs/>
                <w:szCs w:val="21"/>
              </w:rPr>
              <w:t>授予单位</w:t>
            </w:r>
          </w:p>
        </w:tc>
      </w:tr>
      <w:tr w14:paraId="1286A1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tcPr>
          <w:p w14:paraId="7960C163">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1</w:t>
            </w:r>
          </w:p>
        </w:tc>
        <w:tc>
          <w:tcPr>
            <w:tcW w:w="3874" w:type="dxa"/>
          </w:tcPr>
          <w:p w14:paraId="24D717CE">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湖南省骨干教师</w:t>
            </w:r>
          </w:p>
        </w:tc>
        <w:tc>
          <w:tcPr>
            <w:tcW w:w="1560" w:type="dxa"/>
          </w:tcPr>
          <w:p w14:paraId="4B31C964">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cs="Times New Roman" w:eastAsiaTheme="majorEastAsia"/>
                <w:color w:val="1E1C11" w:themeColor="background2" w:themeShade="1A"/>
                <w:sz w:val="24"/>
                <w:szCs w:val="24"/>
              </w:rPr>
              <w:t>雍玉冰</w:t>
            </w:r>
          </w:p>
        </w:tc>
        <w:tc>
          <w:tcPr>
            <w:tcW w:w="2286" w:type="dxa"/>
          </w:tcPr>
          <w:p w14:paraId="01C36ED8">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湖南省教育厅</w:t>
            </w:r>
          </w:p>
        </w:tc>
      </w:tr>
      <w:tr w14:paraId="2D027B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tcPr>
          <w:p w14:paraId="02AC415D">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2</w:t>
            </w:r>
          </w:p>
        </w:tc>
        <w:tc>
          <w:tcPr>
            <w:tcW w:w="3874" w:type="dxa"/>
          </w:tcPr>
          <w:p w14:paraId="46F17E0A">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湖南省高校辅导员年度人物</w:t>
            </w:r>
          </w:p>
        </w:tc>
        <w:tc>
          <w:tcPr>
            <w:tcW w:w="1560" w:type="dxa"/>
          </w:tcPr>
          <w:p w14:paraId="68C8C86F">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cs="Times New Roman" w:eastAsiaTheme="majorEastAsia"/>
                <w:color w:val="1E1C11" w:themeColor="background2" w:themeShade="1A"/>
                <w:sz w:val="24"/>
                <w:szCs w:val="24"/>
              </w:rPr>
              <w:t>王清扬</w:t>
            </w:r>
          </w:p>
        </w:tc>
        <w:tc>
          <w:tcPr>
            <w:tcW w:w="2286" w:type="dxa"/>
          </w:tcPr>
          <w:p w14:paraId="2EF56FA3">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湖南省教育厅</w:t>
            </w:r>
          </w:p>
        </w:tc>
      </w:tr>
      <w:tr w14:paraId="06EB5A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tcPr>
          <w:p w14:paraId="3A2E5137">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3</w:t>
            </w:r>
          </w:p>
        </w:tc>
        <w:tc>
          <w:tcPr>
            <w:tcW w:w="3874" w:type="dxa"/>
          </w:tcPr>
          <w:p w14:paraId="379344E2">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湖南省课程思政示范课程</w:t>
            </w:r>
          </w:p>
        </w:tc>
        <w:tc>
          <w:tcPr>
            <w:tcW w:w="1560" w:type="dxa"/>
          </w:tcPr>
          <w:p w14:paraId="451BCF33">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曹受金</w:t>
            </w:r>
          </w:p>
        </w:tc>
        <w:tc>
          <w:tcPr>
            <w:tcW w:w="2286" w:type="dxa"/>
          </w:tcPr>
          <w:p w14:paraId="37A07A5B">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湖南省教育厅</w:t>
            </w:r>
          </w:p>
        </w:tc>
      </w:tr>
    </w:tbl>
    <w:p w14:paraId="659C7A94">
      <w:pPr>
        <w:keepNext w:val="0"/>
        <w:keepLines w:val="0"/>
        <w:pageBreakBefore w:val="0"/>
        <w:widowControl w:val="0"/>
        <w:kinsoku/>
        <w:wordWrap/>
        <w:overflowPunct w:val="0"/>
        <w:topLinePunct w:val="0"/>
        <w:autoSpaceDE/>
        <w:autoSpaceDN/>
        <w:bidi w:val="0"/>
        <w:adjustRightInd w:val="0"/>
        <w:snapToGrid w:val="0"/>
        <w:spacing w:before="132" w:beforeLines="30" w:line="360" w:lineRule="auto"/>
        <w:ind w:left="0" w:leftChars="0" w:right="0" w:rightChars="0" w:firstLine="480" w:firstLineChars="200"/>
        <w:jc w:val="left"/>
        <w:textAlignment w:val="auto"/>
        <w:outlineLvl w:val="2"/>
        <w:rPr>
          <w:rStyle w:val="27"/>
          <w:rFonts w:hint="eastAsia" w:ascii="黑体" w:hAnsi="黑体" w:eastAsia="黑体" w:cs="黑体"/>
          <w:b w:val="0"/>
          <w:bCs/>
          <w:sz w:val="24"/>
          <w:szCs w:val="24"/>
          <w:lang w:val="en-US" w:eastAsia="zh-CN"/>
        </w:rPr>
      </w:pPr>
      <w:r>
        <w:rPr>
          <w:rStyle w:val="27"/>
          <w:rFonts w:hint="eastAsia" w:ascii="黑体" w:hAnsi="黑体" w:eastAsia="黑体" w:cs="黑体"/>
          <w:b w:val="0"/>
          <w:bCs/>
          <w:sz w:val="24"/>
          <w:szCs w:val="24"/>
          <w:lang w:val="en-US" w:eastAsia="zh-CN"/>
        </w:rPr>
        <w:t>2.师资队伍结构</w:t>
      </w:r>
    </w:p>
    <w:p w14:paraId="7B78FA74">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kern w:val="0"/>
          <w:sz w:val="24"/>
          <w:szCs w:val="24"/>
          <w:lang w:bidi="ar"/>
        </w:rPr>
      </w:pPr>
      <w:r>
        <w:rPr>
          <w:rFonts w:hint="eastAsia" w:ascii="宋体" w:hAnsi="宋体" w:eastAsia="宋体" w:cs="宋体"/>
          <w:color w:val="000000"/>
          <w:kern w:val="0"/>
          <w:sz w:val="24"/>
          <w:szCs w:val="24"/>
          <w:lang w:bidi="ar"/>
        </w:rPr>
        <w:t>风</w:t>
      </w:r>
      <w:r>
        <w:rPr>
          <w:rFonts w:hint="default" w:ascii="Times New Roman" w:hAnsi="Times New Roman" w:eastAsia="宋体" w:cs="Times New Roman"/>
          <w:color w:val="000000"/>
          <w:kern w:val="0"/>
          <w:sz w:val="24"/>
          <w:szCs w:val="24"/>
          <w:lang w:bidi="ar"/>
        </w:rPr>
        <w:t>景园林专业学位点</w:t>
      </w:r>
      <w:r>
        <w:rPr>
          <w:rFonts w:hint="default" w:ascii="Times New Roman" w:hAnsi="Times New Roman" w:eastAsia="宋体" w:cs="Times New Roman"/>
          <w:color w:val="000000"/>
          <w:kern w:val="0"/>
          <w:sz w:val="24"/>
          <w:szCs w:val="24"/>
          <w:lang w:eastAsia="zh-CN" w:bidi="ar"/>
        </w:rPr>
        <w:t>现有</w:t>
      </w:r>
      <w:r>
        <w:rPr>
          <w:rFonts w:hint="default" w:ascii="Times New Roman" w:hAnsi="Times New Roman" w:eastAsia="宋体" w:cs="Times New Roman"/>
          <w:color w:val="000000"/>
          <w:kern w:val="0"/>
          <w:sz w:val="24"/>
          <w:szCs w:val="24"/>
          <w:lang w:bidi="ar"/>
        </w:rPr>
        <w:t>专任教师53人，教授15人，副教授20人，讲师18人。45岁以下占比54.7%，具有博士学位占73.6%，</w:t>
      </w:r>
      <w:r>
        <w:rPr>
          <w:rFonts w:hint="default" w:ascii="Times New Roman" w:hAnsi="Times New Roman" w:eastAsia="宋体" w:cs="Times New Roman"/>
          <w:color w:val="000000"/>
          <w:kern w:val="0"/>
          <w:sz w:val="24"/>
          <w:szCs w:val="24"/>
          <w:lang w:eastAsia="zh-CN" w:bidi="ar"/>
        </w:rPr>
        <w:t>具</w:t>
      </w:r>
      <w:r>
        <w:rPr>
          <w:rFonts w:hint="default" w:ascii="Times New Roman" w:hAnsi="Times New Roman" w:eastAsia="宋体" w:cs="Times New Roman"/>
          <w:color w:val="000000"/>
          <w:kern w:val="0"/>
          <w:sz w:val="24"/>
          <w:szCs w:val="24"/>
          <w:lang w:bidi="ar"/>
        </w:rPr>
        <w:t>海外经历占22.6%，学科骨干在国内学科领域具有一定学术影响力。学位聘有校外兼职导师56人，其中教授、研究员及教授级高工19人，高级工程师30人，均为高校、科研机构或企事业单位中具有较高学术水平与实践经验者，在行业有一定学术影响力，如全国勘察设计大师杨瑛、乔治亚大学教授张冬林、上海辰山植物园执行主任胡永红等。</w:t>
      </w:r>
    </w:p>
    <w:p w14:paraId="7D88D48C">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jc w:val="center"/>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表6 师资结构</w:t>
      </w:r>
    </w:p>
    <w:tbl>
      <w:tblPr>
        <w:tblStyle w:val="11"/>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27"/>
        <w:gridCol w:w="806"/>
        <w:gridCol w:w="671"/>
        <w:gridCol w:w="712"/>
        <w:gridCol w:w="729"/>
        <w:gridCol w:w="842"/>
        <w:gridCol w:w="894"/>
        <w:gridCol w:w="1006"/>
        <w:gridCol w:w="672"/>
        <w:gridCol w:w="673"/>
      </w:tblGrid>
      <w:tr w14:paraId="3217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0" w:type="dxa"/>
            <w:vAlign w:val="center"/>
          </w:tcPr>
          <w:p w14:paraId="4F22E1AB">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专业技术职务</w:t>
            </w:r>
          </w:p>
        </w:tc>
        <w:tc>
          <w:tcPr>
            <w:tcW w:w="727" w:type="dxa"/>
            <w:vAlign w:val="center"/>
          </w:tcPr>
          <w:p w14:paraId="192E6330">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合计</w:t>
            </w:r>
          </w:p>
        </w:tc>
        <w:tc>
          <w:tcPr>
            <w:tcW w:w="806" w:type="dxa"/>
            <w:vAlign w:val="center"/>
          </w:tcPr>
          <w:p w14:paraId="6417F4E3">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35岁</w:t>
            </w:r>
          </w:p>
          <w:p w14:paraId="1B0959F4">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及以下</w:t>
            </w:r>
          </w:p>
        </w:tc>
        <w:tc>
          <w:tcPr>
            <w:tcW w:w="671" w:type="dxa"/>
            <w:vAlign w:val="center"/>
          </w:tcPr>
          <w:p w14:paraId="65CD59F3">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36至</w:t>
            </w:r>
          </w:p>
          <w:p w14:paraId="252C6FE5">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45岁</w:t>
            </w:r>
          </w:p>
        </w:tc>
        <w:tc>
          <w:tcPr>
            <w:tcW w:w="712" w:type="dxa"/>
            <w:vAlign w:val="center"/>
          </w:tcPr>
          <w:p w14:paraId="74BA35CB">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46至</w:t>
            </w:r>
          </w:p>
          <w:p w14:paraId="09CB0965">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55岁</w:t>
            </w:r>
          </w:p>
        </w:tc>
        <w:tc>
          <w:tcPr>
            <w:tcW w:w="729" w:type="dxa"/>
            <w:vAlign w:val="center"/>
          </w:tcPr>
          <w:p w14:paraId="43DC7E6F">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56至</w:t>
            </w:r>
          </w:p>
          <w:p w14:paraId="7BFB7A03">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60岁</w:t>
            </w:r>
          </w:p>
        </w:tc>
        <w:tc>
          <w:tcPr>
            <w:tcW w:w="842" w:type="dxa"/>
            <w:vAlign w:val="center"/>
          </w:tcPr>
          <w:p w14:paraId="59D97BF4">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61岁</w:t>
            </w:r>
          </w:p>
          <w:p w14:paraId="7AD5A1DF">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及以上</w:t>
            </w:r>
          </w:p>
        </w:tc>
        <w:tc>
          <w:tcPr>
            <w:tcW w:w="894" w:type="dxa"/>
            <w:vAlign w:val="center"/>
          </w:tcPr>
          <w:p w14:paraId="025B691D">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博士学位人数</w:t>
            </w:r>
          </w:p>
        </w:tc>
        <w:tc>
          <w:tcPr>
            <w:tcW w:w="1006" w:type="dxa"/>
            <w:vAlign w:val="center"/>
          </w:tcPr>
          <w:p w14:paraId="52536193">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b/>
                <w:bCs/>
                <w:kern w:val="0"/>
                <w:szCs w:val="21"/>
                <w:highlight w:val="yellow"/>
              </w:rPr>
            </w:pPr>
            <w:r>
              <w:rPr>
                <w:rFonts w:hint="default" w:ascii="Times New Roman" w:hAnsi="Times New Roman" w:cs="Times New Roman"/>
                <w:b/>
                <w:bCs/>
                <w:color w:val="000000" w:themeColor="text1"/>
                <w:kern w:val="0"/>
                <w:szCs w:val="21"/>
                <w14:textFill>
                  <w14:solidFill>
                    <w14:schemeClr w14:val="tx1"/>
                  </w14:solidFill>
                </w14:textFill>
              </w:rPr>
              <w:t>具有境外经历人数</w:t>
            </w:r>
          </w:p>
        </w:tc>
        <w:tc>
          <w:tcPr>
            <w:tcW w:w="672" w:type="dxa"/>
            <w:vAlign w:val="center"/>
          </w:tcPr>
          <w:p w14:paraId="6C29E5DA">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博导</w:t>
            </w:r>
          </w:p>
          <w:p w14:paraId="3F92A2A4">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人数</w:t>
            </w:r>
          </w:p>
        </w:tc>
        <w:tc>
          <w:tcPr>
            <w:tcW w:w="673" w:type="dxa"/>
            <w:vAlign w:val="center"/>
          </w:tcPr>
          <w:p w14:paraId="5635A917">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硕导</w:t>
            </w:r>
          </w:p>
          <w:p w14:paraId="0C368755">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人数</w:t>
            </w:r>
          </w:p>
        </w:tc>
      </w:tr>
      <w:tr w14:paraId="6B2B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0" w:type="dxa"/>
            <w:vAlign w:val="center"/>
          </w:tcPr>
          <w:p w14:paraId="0FF8BDBF">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正高级</w:t>
            </w:r>
          </w:p>
        </w:tc>
        <w:tc>
          <w:tcPr>
            <w:tcW w:w="727" w:type="dxa"/>
            <w:vAlign w:val="center"/>
          </w:tcPr>
          <w:p w14:paraId="68C7C6A0">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15</w:t>
            </w:r>
          </w:p>
        </w:tc>
        <w:tc>
          <w:tcPr>
            <w:tcW w:w="806" w:type="dxa"/>
            <w:vAlign w:val="center"/>
          </w:tcPr>
          <w:p w14:paraId="12A5FA54">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0</w:t>
            </w:r>
          </w:p>
        </w:tc>
        <w:tc>
          <w:tcPr>
            <w:tcW w:w="671" w:type="dxa"/>
            <w:vAlign w:val="center"/>
          </w:tcPr>
          <w:p w14:paraId="42DDD500">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4</w:t>
            </w:r>
          </w:p>
        </w:tc>
        <w:tc>
          <w:tcPr>
            <w:tcW w:w="712" w:type="dxa"/>
            <w:vAlign w:val="center"/>
          </w:tcPr>
          <w:p w14:paraId="5D2C912C">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4</w:t>
            </w:r>
          </w:p>
        </w:tc>
        <w:tc>
          <w:tcPr>
            <w:tcW w:w="729" w:type="dxa"/>
            <w:vAlign w:val="center"/>
          </w:tcPr>
          <w:p w14:paraId="49D20895">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4</w:t>
            </w:r>
          </w:p>
        </w:tc>
        <w:tc>
          <w:tcPr>
            <w:tcW w:w="842" w:type="dxa"/>
            <w:vAlign w:val="center"/>
          </w:tcPr>
          <w:p w14:paraId="44D4E562">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3</w:t>
            </w:r>
          </w:p>
        </w:tc>
        <w:tc>
          <w:tcPr>
            <w:tcW w:w="894" w:type="dxa"/>
            <w:vAlign w:val="center"/>
          </w:tcPr>
          <w:p w14:paraId="5A142B05">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15</w:t>
            </w:r>
          </w:p>
        </w:tc>
        <w:tc>
          <w:tcPr>
            <w:tcW w:w="1006" w:type="dxa"/>
            <w:shd w:val="clear" w:color="auto" w:fill="auto"/>
            <w:vAlign w:val="center"/>
          </w:tcPr>
          <w:p w14:paraId="183E4C27">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5</w:t>
            </w:r>
          </w:p>
        </w:tc>
        <w:tc>
          <w:tcPr>
            <w:tcW w:w="672" w:type="dxa"/>
            <w:vAlign w:val="center"/>
          </w:tcPr>
          <w:p w14:paraId="3C41CBDE">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6</w:t>
            </w:r>
          </w:p>
        </w:tc>
        <w:tc>
          <w:tcPr>
            <w:tcW w:w="673" w:type="dxa"/>
            <w:vAlign w:val="center"/>
          </w:tcPr>
          <w:p w14:paraId="74E4B6C3">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15</w:t>
            </w:r>
          </w:p>
        </w:tc>
      </w:tr>
      <w:tr w14:paraId="0F8A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0" w:type="dxa"/>
            <w:vAlign w:val="center"/>
          </w:tcPr>
          <w:p w14:paraId="29DC2E16">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副高级</w:t>
            </w:r>
          </w:p>
        </w:tc>
        <w:tc>
          <w:tcPr>
            <w:tcW w:w="727" w:type="dxa"/>
            <w:vAlign w:val="center"/>
          </w:tcPr>
          <w:p w14:paraId="17E3A2F2">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20</w:t>
            </w:r>
          </w:p>
        </w:tc>
        <w:tc>
          <w:tcPr>
            <w:tcW w:w="806" w:type="dxa"/>
            <w:vAlign w:val="center"/>
          </w:tcPr>
          <w:p w14:paraId="66DA872C">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1</w:t>
            </w:r>
          </w:p>
        </w:tc>
        <w:tc>
          <w:tcPr>
            <w:tcW w:w="671" w:type="dxa"/>
            <w:vAlign w:val="center"/>
          </w:tcPr>
          <w:p w14:paraId="3D9D5C3E">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10</w:t>
            </w:r>
          </w:p>
        </w:tc>
        <w:tc>
          <w:tcPr>
            <w:tcW w:w="712" w:type="dxa"/>
            <w:vAlign w:val="center"/>
          </w:tcPr>
          <w:p w14:paraId="30911E24">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8</w:t>
            </w:r>
          </w:p>
        </w:tc>
        <w:tc>
          <w:tcPr>
            <w:tcW w:w="729" w:type="dxa"/>
            <w:vAlign w:val="center"/>
          </w:tcPr>
          <w:p w14:paraId="3F06F4F0">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1</w:t>
            </w:r>
          </w:p>
        </w:tc>
        <w:tc>
          <w:tcPr>
            <w:tcW w:w="842" w:type="dxa"/>
            <w:vAlign w:val="center"/>
          </w:tcPr>
          <w:p w14:paraId="3ED94E90">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0</w:t>
            </w:r>
          </w:p>
        </w:tc>
        <w:tc>
          <w:tcPr>
            <w:tcW w:w="894" w:type="dxa"/>
            <w:vAlign w:val="center"/>
          </w:tcPr>
          <w:p w14:paraId="298486A6">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13</w:t>
            </w:r>
          </w:p>
        </w:tc>
        <w:tc>
          <w:tcPr>
            <w:tcW w:w="1006" w:type="dxa"/>
            <w:shd w:val="clear" w:color="auto" w:fill="auto"/>
            <w:vAlign w:val="center"/>
          </w:tcPr>
          <w:p w14:paraId="1A14C88A">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2</w:t>
            </w:r>
          </w:p>
        </w:tc>
        <w:tc>
          <w:tcPr>
            <w:tcW w:w="672" w:type="dxa"/>
            <w:vAlign w:val="center"/>
          </w:tcPr>
          <w:p w14:paraId="0DE92F33">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0</w:t>
            </w:r>
          </w:p>
        </w:tc>
        <w:tc>
          <w:tcPr>
            <w:tcW w:w="673" w:type="dxa"/>
            <w:vAlign w:val="center"/>
          </w:tcPr>
          <w:p w14:paraId="7B926018">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20</w:t>
            </w:r>
          </w:p>
        </w:tc>
      </w:tr>
      <w:tr w14:paraId="68D3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0" w:type="dxa"/>
            <w:vAlign w:val="center"/>
          </w:tcPr>
          <w:p w14:paraId="64A59030">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中级</w:t>
            </w:r>
          </w:p>
        </w:tc>
        <w:tc>
          <w:tcPr>
            <w:tcW w:w="727" w:type="dxa"/>
            <w:vAlign w:val="center"/>
          </w:tcPr>
          <w:p w14:paraId="4BE3E454">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18</w:t>
            </w:r>
          </w:p>
        </w:tc>
        <w:tc>
          <w:tcPr>
            <w:tcW w:w="806" w:type="dxa"/>
            <w:vAlign w:val="center"/>
          </w:tcPr>
          <w:p w14:paraId="479E0E5D">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6</w:t>
            </w:r>
          </w:p>
        </w:tc>
        <w:tc>
          <w:tcPr>
            <w:tcW w:w="671" w:type="dxa"/>
            <w:vAlign w:val="center"/>
          </w:tcPr>
          <w:p w14:paraId="3F759E70">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8</w:t>
            </w:r>
          </w:p>
        </w:tc>
        <w:tc>
          <w:tcPr>
            <w:tcW w:w="712" w:type="dxa"/>
            <w:vAlign w:val="center"/>
          </w:tcPr>
          <w:p w14:paraId="6A77E0F9">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4</w:t>
            </w:r>
          </w:p>
        </w:tc>
        <w:tc>
          <w:tcPr>
            <w:tcW w:w="729" w:type="dxa"/>
            <w:vAlign w:val="center"/>
          </w:tcPr>
          <w:p w14:paraId="39F11FAF">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0</w:t>
            </w:r>
          </w:p>
        </w:tc>
        <w:tc>
          <w:tcPr>
            <w:tcW w:w="842" w:type="dxa"/>
            <w:vAlign w:val="center"/>
          </w:tcPr>
          <w:p w14:paraId="6F7089C8">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0</w:t>
            </w:r>
          </w:p>
        </w:tc>
        <w:tc>
          <w:tcPr>
            <w:tcW w:w="894" w:type="dxa"/>
            <w:vAlign w:val="center"/>
          </w:tcPr>
          <w:p w14:paraId="7B728F0B">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11</w:t>
            </w:r>
          </w:p>
        </w:tc>
        <w:tc>
          <w:tcPr>
            <w:tcW w:w="1006" w:type="dxa"/>
            <w:shd w:val="clear" w:color="auto" w:fill="auto"/>
            <w:vAlign w:val="center"/>
          </w:tcPr>
          <w:p w14:paraId="34D87114">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5</w:t>
            </w:r>
          </w:p>
        </w:tc>
        <w:tc>
          <w:tcPr>
            <w:tcW w:w="672" w:type="dxa"/>
            <w:vAlign w:val="center"/>
          </w:tcPr>
          <w:p w14:paraId="0623215C">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0</w:t>
            </w:r>
          </w:p>
        </w:tc>
        <w:tc>
          <w:tcPr>
            <w:tcW w:w="673" w:type="dxa"/>
            <w:vAlign w:val="center"/>
          </w:tcPr>
          <w:p w14:paraId="31549F65">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5</w:t>
            </w:r>
          </w:p>
        </w:tc>
      </w:tr>
      <w:tr w14:paraId="6F9F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0" w:type="dxa"/>
            <w:vAlign w:val="center"/>
          </w:tcPr>
          <w:p w14:paraId="00352B90">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合计</w:t>
            </w:r>
          </w:p>
        </w:tc>
        <w:tc>
          <w:tcPr>
            <w:tcW w:w="727" w:type="dxa"/>
            <w:vAlign w:val="center"/>
          </w:tcPr>
          <w:p w14:paraId="1434CA30">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53</w:t>
            </w:r>
          </w:p>
        </w:tc>
        <w:tc>
          <w:tcPr>
            <w:tcW w:w="806" w:type="dxa"/>
            <w:vAlign w:val="center"/>
          </w:tcPr>
          <w:p w14:paraId="66CB0E3F">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7</w:t>
            </w:r>
          </w:p>
        </w:tc>
        <w:tc>
          <w:tcPr>
            <w:tcW w:w="671" w:type="dxa"/>
            <w:vAlign w:val="center"/>
          </w:tcPr>
          <w:p w14:paraId="653ECE88">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22</w:t>
            </w:r>
          </w:p>
        </w:tc>
        <w:tc>
          <w:tcPr>
            <w:tcW w:w="712" w:type="dxa"/>
            <w:vAlign w:val="center"/>
          </w:tcPr>
          <w:p w14:paraId="6E5E4BCD">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16</w:t>
            </w:r>
          </w:p>
        </w:tc>
        <w:tc>
          <w:tcPr>
            <w:tcW w:w="729" w:type="dxa"/>
            <w:vAlign w:val="center"/>
          </w:tcPr>
          <w:p w14:paraId="05EE6004">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5</w:t>
            </w:r>
          </w:p>
        </w:tc>
        <w:tc>
          <w:tcPr>
            <w:tcW w:w="842" w:type="dxa"/>
            <w:vAlign w:val="center"/>
          </w:tcPr>
          <w:p w14:paraId="45118480">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3</w:t>
            </w:r>
          </w:p>
        </w:tc>
        <w:tc>
          <w:tcPr>
            <w:tcW w:w="894" w:type="dxa"/>
            <w:vAlign w:val="center"/>
          </w:tcPr>
          <w:p w14:paraId="28C10D98">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39</w:t>
            </w:r>
          </w:p>
        </w:tc>
        <w:tc>
          <w:tcPr>
            <w:tcW w:w="1006" w:type="dxa"/>
            <w:shd w:val="clear" w:color="auto" w:fill="auto"/>
            <w:vAlign w:val="center"/>
          </w:tcPr>
          <w:p w14:paraId="3B53C7CD">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12</w:t>
            </w:r>
          </w:p>
        </w:tc>
        <w:tc>
          <w:tcPr>
            <w:tcW w:w="672" w:type="dxa"/>
            <w:vAlign w:val="center"/>
          </w:tcPr>
          <w:p w14:paraId="3C5B0230">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6</w:t>
            </w:r>
          </w:p>
        </w:tc>
        <w:tc>
          <w:tcPr>
            <w:tcW w:w="673" w:type="dxa"/>
            <w:vAlign w:val="center"/>
          </w:tcPr>
          <w:p w14:paraId="7F417A8C">
            <w:pPr>
              <w:keepNext w:val="0"/>
              <w:keepLines w:val="0"/>
              <w:pageBreakBefore w:val="0"/>
              <w:widowControl w:val="0"/>
              <w:kinsoku/>
              <w:wordWrap/>
              <w:overflowPunct w:val="0"/>
              <w:topLinePunct w:val="0"/>
              <w:autoSpaceDE/>
              <w:autoSpaceDN/>
              <w:bidi w:val="0"/>
              <w:adjustRightInd w:val="0"/>
              <w:snapToGrid w:val="0"/>
              <w:ind w:left="0" w:leftChars="0" w:right="0" w:rightChars="0"/>
              <w:jc w:val="center"/>
              <w:rPr>
                <w:rFonts w:hint="default" w:ascii="Times New Roman" w:hAnsi="Times New Roman" w:eastAsia="楷体_GB2312" w:cs="Times New Roman"/>
                <w:bCs/>
                <w:color w:val="000000" w:themeColor="text1"/>
                <w:szCs w:val="21"/>
                <w14:textFill>
                  <w14:solidFill>
                    <w14:schemeClr w14:val="tx1"/>
                  </w14:solidFill>
                </w14:textFill>
              </w:rPr>
            </w:pPr>
            <w:r>
              <w:rPr>
                <w:rFonts w:hint="default" w:ascii="Times New Roman" w:hAnsi="Times New Roman" w:eastAsia="楷体_GB2312" w:cs="Times New Roman"/>
                <w:bCs/>
                <w:color w:val="000000" w:themeColor="text1"/>
                <w:szCs w:val="21"/>
                <w14:textFill>
                  <w14:solidFill>
                    <w14:schemeClr w14:val="tx1"/>
                  </w14:solidFill>
                </w14:textFill>
              </w:rPr>
              <w:t>40</w:t>
            </w:r>
          </w:p>
        </w:tc>
      </w:tr>
    </w:tbl>
    <w:p w14:paraId="5FE30E7B">
      <w:pPr>
        <w:keepNext w:val="0"/>
        <w:keepLines w:val="0"/>
        <w:pageBreakBefore w:val="0"/>
        <w:widowControl w:val="0"/>
        <w:kinsoku/>
        <w:wordWrap/>
        <w:overflowPunct w:val="0"/>
        <w:topLinePunct w:val="0"/>
        <w:autoSpaceDE/>
        <w:autoSpaceDN/>
        <w:bidi w:val="0"/>
        <w:adjustRightInd w:val="0"/>
        <w:snapToGrid/>
        <w:spacing w:line="240" w:lineRule="exact"/>
        <w:ind w:left="0" w:leftChars="0" w:right="0" w:rightChars="0"/>
        <w:jc w:val="center"/>
        <w:textAlignment w:val="auto"/>
        <w:rPr>
          <w:rFonts w:hint="default" w:ascii="Times New Roman" w:hAnsi="Times New Roman" w:eastAsia="宋体" w:cs="Times New Roman"/>
          <w:b/>
          <w:color w:val="000000"/>
          <w:szCs w:val="21"/>
        </w:rPr>
      </w:pPr>
    </w:p>
    <w:p w14:paraId="31B97AAB">
      <w:pPr>
        <w:keepNext w:val="0"/>
        <w:keepLines w:val="0"/>
        <w:pageBreakBefore w:val="0"/>
        <w:widowControl w:val="0"/>
        <w:kinsoku/>
        <w:wordWrap/>
        <w:overflowPunct w:val="0"/>
        <w:topLinePunct w:val="0"/>
        <w:autoSpaceDE/>
        <w:autoSpaceDN/>
        <w:bidi w:val="0"/>
        <w:adjustRightInd w:val="0"/>
        <w:ind w:left="0" w:leftChars="0" w:right="0" w:rightChars="0"/>
        <w:jc w:val="center"/>
        <w:rPr>
          <w:rFonts w:hint="default" w:ascii="Times New Roman" w:hAnsi="Times New Roman" w:cs="Times New Roman" w:eastAsiaTheme="majorEastAsia"/>
          <w:b/>
          <w:color w:val="000000"/>
          <w:szCs w:val="21"/>
        </w:rPr>
      </w:pPr>
      <w:r>
        <w:rPr>
          <w:rFonts w:hint="default" w:ascii="Times New Roman" w:hAnsi="Times New Roman" w:eastAsia="宋体" w:cs="Times New Roman"/>
          <w:b/>
          <w:color w:val="000000"/>
          <w:szCs w:val="21"/>
        </w:rPr>
        <w:t xml:space="preserve">表7  教师参加国内学术会议情况  </w:t>
      </w:r>
      <w:r>
        <w:rPr>
          <w:rFonts w:hint="default" w:ascii="Times New Roman" w:hAnsi="Times New Roman" w:cs="Times New Roman" w:eastAsiaTheme="majorEastAsia"/>
          <w:b/>
          <w:color w:val="000000"/>
          <w:szCs w:val="21"/>
        </w:rPr>
        <w:t xml:space="preserve">  </w:t>
      </w:r>
    </w:p>
    <w:tbl>
      <w:tblPr>
        <w:tblStyle w:val="12"/>
        <w:tblW w:w="85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9"/>
        <w:gridCol w:w="1080"/>
        <w:gridCol w:w="680"/>
        <w:gridCol w:w="1330"/>
        <w:gridCol w:w="690"/>
        <w:gridCol w:w="700"/>
        <w:gridCol w:w="880"/>
        <w:gridCol w:w="2531"/>
      </w:tblGrid>
      <w:tr w14:paraId="360AF1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vAlign w:val="center"/>
          </w:tcPr>
          <w:p w14:paraId="1CBD1686">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序号</w:t>
            </w:r>
          </w:p>
        </w:tc>
        <w:tc>
          <w:tcPr>
            <w:tcW w:w="1080" w:type="dxa"/>
            <w:vAlign w:val="center"/>
          </w:tcPr>
          <w:p w14:paraId="382AE9A7">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教师姓名</w:t>
            </w:r>
          </w:p>
        </w:tc>
        <w:tc>
          <w:tcPr>
            <w:tcW w:w="680" w:type="dxa"/>
            <w:vAlign w:val="center"/>
          </w:tcPr>
          <w:p w14:paraId="03D8F66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职称</w:t>
            </w:r>
          </w:p>
        </w:tc>
        <w:tc>
          <w:tcPr>
            <w:tcW w:w="1330" w:type="dxa"/>
            <w:vAlign w:val="center"/>
          </w:tcPr>
          <w:p w14:paraId="79D1207B">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会议名称</w:t>
            </w:r>
          </w:p>
        </w:tc>
        <w:tc>
          <w:tcPr>
            <w:tcW w:w="690" w:type="dxa"/>
            <w:vAlign w:val="center"/>
          </w:tcPr>
          <w:p w14:paraId="4AD7DD7C">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会议级别</w:t>
            </w:r>
          </w:p>
        </w:tc>
        <w:tc>
          <w:tcPr>
            <w:tcW w:w="700" w:type="dxa"/>
            <w:vAlign w:val="center"/>
          </w:tcPr>
          <w:p w14:paraId="7A26AD1E">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地点</w:t>
            </w:r>
          </w:p>
        </w:tc>
        <w:tc>
          <w:tcPr>
            <w:tcW w:w="880" w:type="dxa"/>
            <w:vAlign w:val="center"/>
          </w:tcPr>
          <w:p w14:paraId="0716DA64">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时间</w:t>
            </w:r>
          </w:p>
        </w:tc>
        <w:tc>
          <w:tcPr>
            <w:tcW w:w="2531" w:type="dxa"/>
            <w:vAlign w:val="center"/>
          </w:tcPr>
          <w:p w14:paraId="19F41A11">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报告名称及形式</w:t>
            </w:r>
          </w:p>
        </w:tc>
      </w:tr>
      <w:tr w14:paraId="4F9E6A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vAlign w:val="center"/>
          </w:tcPr>
          <w:p w14:paraId="5135BCD7">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1</w:t>
            </w:r>
          </w:p>
        </w:tc>
        <w:tc>
          <w:tcPr>
            <w:tcW w:w="1080" w:type="dxa"/>
            <w:vAlign w:val="center"/>
          </w:tcPr>
          <w:p w14:paraId="159A6B96">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沈守云</w:t>
            </w:r>
          </w:p>
        </w:tc>
        <w:tc>
          <w:tcPr>
            <w:tcW w:w="680" w:type="dxa"/>
            <w:vAlign w:val="center"/>
          </w:tcPr>
          <w:p w14:paraId="601E070C">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教授</w:t>
            </w:r>
          </w:p>
        </w:tc>
        <w:tc>
          <w:tcPr>
            <w:tcW w:w="1330" w:type="dxa"/>
            <w:vAlign w:val="center"/>
          </w:tcPr>
          <w:p w14:paraId="7B0141FB">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中国风景园林学会年会</w:t>
            </w:r>
          </w:p>
        </w:tc>
        <w:tc>
          <w:tcPr>
            <w:tcW w:w="690" w:type="dxa"/>
            <w:vAlign w:val="center"/>
          </w:tcPr>
          <w:p w14:paraId="7A4D263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国际会议</w:t>
            </w:r>
          </w:p>
        </w:tc>
        <w:tc>
          <w:tcPr>
            <w:tcW w:w="700" w:type="dxa"/>
            <w:vAlign w:val="center"/>
          </w:tcPr>
          <w:p w14:paraId="7CC07C92">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b/>
                <w:bCs/>
                <w:color w:val="00B0F0"/>
                <w:szCs w:val="21"/>
                <w:highlight w:val="yellow"/>
              </w:rPr>
            </w:pPr>
            <w:r>
              <w:rPr>
                <w:rFonts w:hint="default" w:ascii="Times New Roman" w:hAnsi="Times New Roman" w:eastAsia="宋体" w:cs="Times New Roman"/>
                <w:color w:val="000000"/>
                <w:kern w:val="0"/>
                <w:szCs w:val="21"/>
                <w:lang w:bidi="ar"/>
              </w:rPr>
              <w:t>深圳</w:t>
            </w:r>
          </w:p>
        </w:tc>
        <w:tc>
          <w:tcPr>
            <w:tcW w:w="880" w:type="dxa"/>
            <w:vAlign w:val="center"/>
          </w:tcPr>
          <w:p w14:paraId="7F77F6D4">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202411</w:t>
            </w:r>
          </w:p>
        </w:tc>
        <w:tc>
          <w:tcPr>
            <w:tcW w:w="2531" w:type="dxa"/>
            <w:vAlign w:val="center"/>
          </w:tcPr>
          <w:p w14:paraId="384524B8">
            <w:pPr>
              <w:keepNext w:val="0"/>
              <w:keepLines w:val="0"/>
              <w:pageBreakBefore w:val="0"/>
              <w:widowControl w:val="0"/>
              <w:kinsoku/>
              <w:wordWrap/>
              <w:overflowPunct w:val="0"/>
              <w:topLinePunct w:val="0"/>
              <w:autoSpaceDE/>
              <w:autoSpaceDN/>
              <w:bidi w:val="0"/>
              <w:adjustRightInd w:val="0"/>
              <w:snapToGrid/>
              <w:spacing w:line="280" w:lineRule="exact"/>
              <w:ind w:left="0" w:leftChars="0" w:right="0" w:rightChars="0"/>
              <w:jc w:val="both"/>
              <w:textAlignment w:val="auto"/>
              <w:rPr>
                <w:rFonts w:hint="default" w:ascii="Times New Roman" w:hAnsi="Times New Roman" w:cs="Times New Roman" w:eastAsiaTheme="majorEastAsia"/>
                <w:b/>
                <w:bCs/>
                <w:color w:val="00B0F0"/>
                <w:szCs w:val="21"/>
                <w:highlight w:val="yellow"/>
              </w:rPr>
            </w:pPr>
            <w:r>
              <w:rPr>
                <w:rFonts w:hint="default" w:ascii="Times New Roman" w:hAnsi="Times New Roman" w:eastAsia="新宋体" w:cs="Times New Roman"/>
                <w:color w:val="000000"/>
                <w:shd w:val="clear" w:color="auto" w:fill="FFFFFF"/>
              </w:rPr>
              <w:t>渔歌鸟鸣：洞庭湖畔乡村的风景之路/口头报告</w:t>
            </w:r>
          </w:p>
        </w:tc>
      </w:tr>
      <w:tr w14:paraId="1E7AD2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vAlign w:val="center"/>
          </w:tcPr>
          <w:p w14:paraId="3BBE27ED">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2</w:t>
            </w:r>
          </w:p>
        </w:tc>
        <w:tc>
          <w:tcPr>
            <w:tcW w:w="1080" w:type="dxa"/>
            <w:vAlign w:val="center"/>
          </w:tcPr>
          <w:p w14:paraId="090E7921">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韦宝婧</w:t>
            </w:r>
          </w:p>
        </w:tc>
        <w:tc>
          <w:tcPr>
            <w:tcW w:w="680" w:type="dxa"/>
            <w:vAlign w:val="center"/>
          </w:tcPr>
          <w:p w14:paraId="0B49AC27">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讲师</w:t>
            </w:r>
          </w:p>
        </w:tc>
        <w:tc>
          <w:tcPr>
            <w:tcW w:w="1330" w:type="dxa"/>
            <w:vAlign w:val="center"/>
          </w:tcPr>
          <w:p w14:paraId="245DFA62">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中国生态学大会</w:t>
            </w:r>
          </w:p>
        </w:tc>
        <w:tc>
          <w:tcPr>
            <w:tcW w:w="690" w:type="dxa"/>
            <w:vAlign w:val="center"/>
          </w:tcPr>
          <w:p w14:paraId="445B4D81">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国际会议</w:t>
            </w:r>
          </w:p>
        </w:tc>
        <w:tc>
          <w:tcPr>
            <w:tcW w:w="700" w:type="dxa"/>
            <w:vAlign w:val="center"/>
          </w:tcPr>
          <w:p w14:paraId="7DB927C6">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辽宁沈阳</w:t>
            </w:r>
          </w:p>
        </w:tc>
        <w:tc>
          <w:tcPr>
            <w:tcW w:w="880" w:type="dxa"/>
            <w:vAlign w:val="center"/>
          </w:tcPr>
          <w:p w14:paraId="4337D5E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202411</w:t>
            </w:r>
          </w:p>
        </w:tc>
        <w:tc>
          <w:tcPr>
            <w:tcW w:w="2531" w:type="dxa"/>
            <w:vAlign w:val="center"/>
          </w:tcPr>
          <w:p w14:paraId="5017072B">
            <w:pPr>
              <w:keepNext w:val="0"/>
              <w:keepLines w:val="0"/>
              <w:pageBreakBefore w:val="0"/>
              <w:widowControl w:val="0"/>
              <w:kinsoku/>
              <w:wordWrap/>
              <w:overflowPunct w:val="0"/>
              <w:topLinePunct w:val="0"/>
              <w:autoSpaceDE/>
              <w:autoSpaceDN/>
              <w:bidi w:val="0"/>
              <w:adjustRightInd w:val="0"/>
              <w:snapToGrid/>
              <w:spacing w:line="280" w:lineRule="exact"/>
              <w:ind w:left="0" w:leftChars="0" w:right="0" w:rightChars="0"/>
              <w:jc w:val="both"/>
              <w:textAlignment w:val="auto"/>
              <w:rPr>
                <w:rFonts w:hint="default" w:ascii="Times New Roman" w:hAnsi="Times New Roman" w:eastAsia="新宋体" w:cs="Times New Roman"/>
                <w:color w:val="000000"/>
                <w:shd w:val="clear" w:color="auto" w:fill="FFFFFF"/>
              </w:rPr>
            </w:pPr>
            <w:r>
              <w:rPr>
                <w:rFonts w:hint="default" w:ascii="Times New Roman" w:hAnsi="Times New Roman" w:cs="Times New Roman" w:eastAsiaTheme="majorEastAsia"/>
                <w:bCs/>
                <w:color w:val="000000" w:themeColor="text1"/>
                <w:szCs w:val="21"/>
                <w14:textFill>
                  <w14:solidFill>
                    <w14:schemeClr w14:val="tx1"/>
                  </w14:solidFill>
                </w14:textFill>
              </w:rPr>
              <w:t>Breaking the poverty trap in an ecologically fragile region through ecological engineering: A close-up look at long-term changes in ecosystem services</w:t>
            </w:r>
            <w:r>
              <w:rPr>
                <w:rFonts w:hint="default" w:ascii="Times New Roman" w:hAnsi="Times New Roman" w:eastAsia="新宋体" w:cs="Times New Roman"/>
                <w:color w:val="000000"/>
                <w:shd w:val="clear" w:color="auto" w:fill="FFFFFF"/>
              </w:rPr>
              <w:t>/口头报告</w:t>
            </w:r>
          </w:p>
        </w:tc>
      </w:tr>
      <w:tr w14:paraId="52FCFD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vAlign w:val="center"/>
          </w:tcPr>
          <w:p w14:paraId="3B977EFC">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3</w:t>
            </w:r>
          </w:p>
        </w:tc>
        <w:tc>
          <w:tcPr>
            <w:tcW w:w="1080" w:type="dxa"/>
            <w:vAlign w:val="center"/>
          </w:tcPr>
          <w:p w14:paraId="3DEF4DA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沈守云</w:t>
            </w:r>
          </w:p>
        </w:tc>
        <w:tc>
          <w:tcPr>
            <w:tcW w:w="680" w:type="dxa"/>
            <w:vAlign w:val="center"/>
          </w:tcPr>
          <w:p w14:paraId="2083042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教授</w:t>
            </w:r>
          </w:p>
        </w:tc>
        <w:tc>
          <w:tcPr>
            <w:tcW w:w="1330" w:type="dxa"/>
            <w:vAlign w:val="center"/>
          </w:tcPr>
          <w:p w14:paraId="5D42B84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中国勘察设计协会风景园林与生态环境分会</w:t>
            </w:r>
          </w:p>
        </w:tc>
        <w:tc>
          <w:tcPr>
            <w:tcW w:w="690" w:type="dxa"/>
            <w:vAlign w:val="center"/>
          </w:tcPr>
          <w:p w14:paraId="63A5A9BB">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国内会议</w:t>
            </w:r>
          </w:p>
        </w:tc>
        <w:tc>
          <w:tcPr>
            <w:tcW w:w="700" w:type="dxa"/>
            <w:vAlign w:val="center"/>
          </w:tcPr>
          <w:p w14:paraId="656D4E83">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浙江温州</w:t>
            </w:r>
          </w:p>
        </w:tc>
        <w:tc>
          <w:tcPr>
            <w:tcW w:w="880" w:type="dxa"/>
            <w:vAlign w:val="center"/>
          </w:tcPr>
          <w:p w14:paraId="2D69E0C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202412</w:t>
            </w:r>
          </w:p>
        </w:tc>
        <w:tc>
          <w:tcPr>
            <w:tcW w:w="2531" w:type="dxa"/>
            <w:vAlign w:val="center"/>
          </w:tcPr>
          <w:p w14:paraId="51E1801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风景园林行业的中国式现代化探索/口头报告</w:t>
            </w:r>
          </w:p>
        </w:tc>
      </w:tr>
      <w:tr w14:paraId="09F85A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vAlign w:val="center"/>
          </w:tcPr>
          <w:p w14:paraId="5BEA88C7">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4</w:t>
            </w:r>
          </w:p>
        </w:tc>
        <w:tc>
          <w:tcPr>
            <w:tcW w:w="1080" w:type="dxa"/>
            <w:vAlign w:val="center"/>
          </w:tcPr>
          <w:p w14:paraId="4F8E1CE6">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文亚峰</w:t>
            </w:r>
          </w:p>
        </w:tc>
        <w:tc>
          <w:tcPr>
            <w:tcW w:w="680" w:type="dxa"/>
            <w:vAlign w:val="center"/>
          </w:tcPr>
          <w:p w14:paraId="19F77EE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教授</w:t>
            </w:r>
          </w:p>
        </w:tc>
        <w:tc>
          <w:tcPr>
            <w:tcW w:w="1330" w:type="dxa"/>
            <w:vAlign w:val="center"/>
          </w:tcPr>
          <w:p w14:paraId="46CBDAC7">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中国园艺学会观赏园艺学术研讨会</w:t>
            </w:r>
          </w:p>
        </w:tc>
        <w:tc>
          <w:tcPr>
            <w:tcW w:w="690" w:type="dxa"/>
            <w:vAlign w:val="center"/>
          </w:tcPr>
          <w:p w14:paraId="1594D7FE">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国内会议</w:t>
            </w:r>
          </w:p>
        </w:tc>
        <w:tc>
          <w:tcPr>
            <w:tcW w:w="700" w:type="dxa"/>
            <w:vAlign w:val="center"/>
          </w:tcPr>
          <w:p w14:paraId="0A2EDAA2">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云南昆明</w:t>
            </w:r>
          </w:p>
        </w:tc>
        <w:tc>
          <w:tcPr>
            <w:tcW w:w="880" w:type="dxa"/>
            <w:vAlign w:val="center"/>
          </w:tcPr>
          <w:p w14:paraId="42862489">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202408</w:t>
            </w:r>
          </w:p>
        </w:tc>
        <w:tc>
          <w:tcPr>
            <w:tcW w:w="2531" w:type="dxa"/>
            <w:vAlign w:val="center"/>
          </w:tcPr>
          <w:p w14:paraId="2F3471A4">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cs="Times New Roman" w:eastAsiaTheme="majorEastAsia"/>
                <w:b/>
                <w:bCs/>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南方红豆杉不同颜色假种皮的形成机制</w:t>
            </w:r>
            <w:r>
              <w:rPr>
                <w:rFonts w:ascii="Times New Roman" w:hAnsi="Times New Roman" w:eastAsia="宋体" w:cs="Times New Roman"/>
                <w:color w:val="000000" w:themeColor="text1"/>
                <w:kern w:val="0"/>
                <w:szCs w:val="21"/>
                <w:lang w:bidi="ar"/>
                <w14:textFill>
                  <w14:solidFill>
                    <w14:schemeClr w14:val="tx1"/>
                  </w14:solidFill>
                </w14:textFill>
              </w:rPr>
              <w:t>/POSTER展示</w:t>
            </w:r>
          </w:p>
        </w:tc>
      </w:tr>
      <w:tr w14:paraId="3107D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vAlign w:val="center"/>
          </w:tcPr>
          <w:p w14:paraId="435B6DF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5</w:t>
            </w:r>
          </w:p>
        </w:tc>
        <w:tc>
          <w:tcPr>
            <w:tcW w:w="1080" w:type="dxa"/>
            <w:vAlign w:val="center"/>
          </w:tcPr>
          <w:p w14:paraId="2596A002">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廖秋林</w:t>
            </w:r>
          </w:p>
        </w:tc>
        <w:tc>
          <w:tcPr>
            <w:tcW w:w="680" w:type="dxa"/>
            <w:vAlign w:val="center"/>
          </w:tcPr>
          <w:p w14:paraId="1E852932">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教授</w:t>
            </w:r>
          </w:p>
        </w:tc>
        <w:tc>
          <w:tcPr>
            <w:tcW w:w="1330" w:type="dxa"/>
            <w:vAlign w:val="center"/>
          </w:tcPr>
          <w:p w14:paraId="758A2D0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农林学科工作委员会林业学科协作组第七届学术交流会</w:t>
            </w:r>
          </w:p>
        </w:tc>
        <w:tc>
          <w:tcPr>
            <w:tcW w:w="690" w:type="dxa"/>
            <w:vAlign w:val="center"/>
          </w:tcPr>
          <w:p w14:paraId="50EEDC9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国内会议</w:t>
            </w:r>
          </w:p>
        </w:tc>
        <w:tc>
          <w:tcPr>
            <w:tcW w:w="700" w:type="dxa"/>
            <w:vAlign w:val="center"/>
          </w:tcPr>
          <w:p w14:paraId="7691150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江苏南京</w:t>
            </w:r>
          </w:p>
        </w:tc>
        <w:tc>
          <w:tcPr>
            <w:tcW w:w="880" w:type="dxa"/>
            <w:vAlign w:val="center"/>
          </w:tcPr>
          <w:p w14:paraId="36E0594D">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202411</w:t>
            </w:r>
          </w:p>
        </w:tc>
        <w:tc>
          <w:tcPr>
            <w:tcW w:w="2531" w:type="dxa"/>
            <w:vAlign w:val="center"/>
          </w:tcPr>
          <w:p w14:paraId="57CEBBC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eastAsia="新宋体" w:cs="Times New Roman"/>
                <w:color w:val="000000"/>
                <w:shd w:val="clear" w:color="auto" w:fill="FFFFFF"/>
              </w:rPr>
              <w:t>风景园林研究生数字智慧+创新型人才培养探索/口头报告</w:t>
            </w:r>
          </w:p>
        </w:tc>
      </w:tr>
      <w:tr w14:paraId="6A9828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vAlign w:val="center"/>
          </w:tcPr>
          <w:p w14:paraId="336A27C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6</w:t>
            </w:r>
          </w:p>
        </w:tc>
        <w:tc>
          <w:tcPr>
            <w:tcW w:w="1080" w:type="dxa"/>
            <w:vAlign w:val="center"/>
          </w:tcPr>
          <w:p w14:paraId="0A84F4F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廖秋林</w:t>
            </w:r>
          </w:p>
        </w:tc>
        <w:tc>
          <w:tcPr>
            <w:tcW w:w="680" w:type="dxa"/>
            <w:vAlign w:val="center"/>
          </w:tcPr>
          <w:p w14:paraId="29B6118E">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教授</w:t>
            </w:r>
          </w:p>
        </w:tc>
        <w:tc>
          <w:tcPr>
            <w:tcW w:w="1330" w:type="dxa"/>
            <w:vAlign w:val="center"/>
          </w:tcPr>
          <w:p w14:paraId="48CC310E">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中国风景园林教育大会</w:t>
            </w:r>
          </w:p>
        </w:tc>
        <w:tc>
          <w:tcPr>
            <w:tcW w:w="690" w:type="dxa"/>
            <w:vAlign w:val="center"/>
          </w:tcPr>
          <w:p w14:paraId="5C82AFF7">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国内会议</w:t>
            </w:r>
          </w:p>
        </w:tc>
        <w:tc>
          <w:tcPr>
            <w:tcW w:w="700" w:type="dxa"/>
            <w:vAlign w:val="center"/>
          </w:tcPr>
          <w:p w14:paraId="1CA57452">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浙江杭州</w:t>
            </w:r>
          </w:p>
        </w:tc>
        <w:tc>
          <w:tcPr>
            <w:tcW w:w="880" w:type="dxa"/>
            <w:vAlign w:val="center"/>
          </w:tcPr>
          <w:p w14:paraId="126C1C3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202412</w:t>
            </w:r>
          </w:p>
        </w:tc>
        <w:tc>
          <w:tcPr>
            <w:tcW w:w="2531" w:type="dxa"/>
            <w:vAlign w:val="center"/>
          </w:tcPr>
          <w:p w14:paraId="5884680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eastAsia="新宋体" w:cs="Times New Roman"/>
                <w:color w:val="000000"/>
                <w:shd w:val="clear" w:color="auto" w:fill="FFFFFF"/>
              </w:rPr>
              <w:t>风景园林数字智慧+创新型人才培养的中南林方案/口头报告</w:t>
            </w:r>
          </w:p>
        </w:tc>
      </w:tr>
      <w:tr w14:paraId="7EB2BA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0" w:hRule="atLeast"/>
        </w:trPr>
        <w:tc>
          <w:tcPr>
            <w:tcW w:w="669" w:type="dxa"/>
            <w:vAlign w:val="center"/>
          </w:tcPr>
          <w:p w14:paraId="62378982">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7</w:t>
            </w:r>
          </w:p>
        </w:tc>
        <w:tc>
          <w:tcPr>
            <w:tcW w:w="1080" w:type="dxa"/>
            <w:vAlign w:val="center"/>
          </w:tcPr>
          <w:p w14:paraId="07A318A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廖秋林</w:t>
            </w:r>
          </w:p>
        </w:tc>
        <w:tc>
          <w:tcPr>
            <w:tcW w:w="680" w:type="dxa"/>
            <w:vAlign w:val="center"/>
          </w:tcPr>
          <w:p w14:paraId="16F5324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教授</w:t>
            </w:r>
          </w:p>
        </w:tc>
        <w:tc>
          <w:tcPr>
            <w:tcW w:w="1330" w:type="dxa"/>
            <w:vAlign w:val="center"/>
          </w:tcPr>
          <w:p w14:paraId="5797B54C">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乡村建设高校联盟乡村人居环境专委会</w:t>
            </w:r>
          </w:p>
        </w:tc>
        <w:tc>
          <w:tcPr>
            <w:tcW w:w="690" w:type="dxa"/>
            <w:vAlign w:val="center"/>
          </w:tcPr>
          <w:p w14:paraId="72131214">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国内会议</w:t>
            </w:r>
          </w:p>
        </w:tc>
        <w:tc>
          <w:tcPr>
            <w:tcW w:w="700" w:type="dxa"/>
            <w:vAlign w:val="center"/>
          </w:tcPr>
          <w:p w14:paraId="60A97190">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安吉</w:t>
            </w:r>
          </w:p>
        </w:tc>
        <w:tc>
          <w:tcPr>
            <w:tcW w:w="880" w:type="dxa"/>
            <w:vAlign w:val="center"/>
          </w:tcPr>
          <w:p w14:paraId="5F769B8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202411</w:t>
            </w:r>
          </w:p>
        </w:tc>
        <w:tc>
          <w:tcPr>
            <w:tcW w:w="2531" w:type="dxa"/>
            <w:vAlign w:val="center"/>
          </w:tcPr>
          <w:p w14:paraId="643920F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eastAsia="新宋体" w:cs="Times New Roman"/>
                <w:color w:val="000000"/>
                <w:shd w:val="clear" w:color="auto" w:fill="FFFFFF"/>
              </w:rPr>
            </w:pPr>
            <w:r>
              <w:rPr>
                <w:rFonts w:ascii="Times New Roman" w:hAnsi="Times New Roman" w:eastAsia="新宋体" w:cs="Times New Roman"/>
                <w:color w:val="000000"/>
                <w:shd w:val="clear" w:color="auto" w:fill="FFFFFF"/>
              </w:rPr>
              <w:t>乡土建筑、景观文化传承发展的反身性智能设计路径探索/口头报告</w:t>
            </w:r>
          </w:p>
        </w:tc>
      </w:tr>
      <w:tr w14:paraId="53381C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669" w:type="dxa"/>
            <w:vAlign w:val="center"/>
          </w:tcPr>
          <w:p w14:paraId="440E7EAB">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8</w:t>
            </w:r>
          </w:p>
        </w:tc>
        <w:tc>
          <w:tcPr>
            <w:tcW w:w="1080" w:type="dxa"/>
            <w:vAlign w:val="center"/>
          </w:tcPr>
          <w:p w14:paraId="7B1E43B4">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张旻桓</w:t>
            </w:r>
          </w:p>
        </w:tc>
        <w:tc>
          <w:tcPr>
            <w:tcW w:w="680" w:type="dxa"/>
            <w:vAlign w:val="center"/>
          </w:tcPr>
          <w:p w14:paraId="53184B92">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副教授</w:t>
            </w:r>
          </w:p>
        </w:tc>
        <w:tc>
          <w:tcPr>
            <w:tcW w:w="1330" w:type="dxa"/>
            <w:vAlign w:val="center"/>
          </w:tcPr>
          <w:p w14:paraId="6618118E">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中国园艺学会观赏园艺学术研讨会</w:t>
            </w:r>
          </w:p>
        </w:tc>
        <w:tc>
          <w:tcPr>
            <w:tcW w:w="690" w:type="dxa"/>
            <w:vAlign w:val="center"/>
          </w:tcPr>
          <w:p w14:paraId="4466558B">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国内会议</w:t>
            </w:r>
          </w:p>
        </w:tc>
        <w:tc>
          <w:tcPr>
            <w:tcW w:w="700" w:type="dxa"/>
            <w:vAlign w:val="center"/>
          </w:tcPr>
          <w:p w14:paraId="24EC90FC">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云南昆明</w:t>
            </w:r>
          </w:p>
        </w:tc>
        <w:tc>
          <w:tcPr>
            <w:tcW w:w="880" w:type="dxa"/>
            <w:vAlign w:val="center"/>
          </w:tcPr>
          <w:p w14:paraId="2282E512">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202408</w:t>
            </w:r>
          </w:p>
        </w:tc>
        <w:tc>
          <w:tcPr>
            <w:tcW w:w="2531" w:type="dxa"/>
            <w:vAlign w:val="center"/>
          </w:tcPr>
          <w:p w14:paraId="129AAEF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牡丹高温胁迫分子机制研究</w:t>
            </w:r>
            <w:r>
              <w:rPr>
                <w:rFonts w:ascii="Times New Roman" w:hAnsi="Times New Roman" w:eastAsia="新宋体" w:cs="Times New Roman"/>
                <w:color w:val="000000"/>
                <w:shd w:val="clear" w:color="auto" w:fill="FFFFFF"/>
              </w:rPr>
              <w:t>/口头报告</w:t>
            </w:r>
          </w:p>
        </w:tc>
      </w:tr>
      <w:tr w14:paraId="002EA8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vAlign w:val="center"/>
          </w:tcPr>
          <w:p w14:paraId="201A4A5D">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9</w:t>
            </w:r>
          </w:p>
        </w:tc>
        <w:tc>
          <w:tcPr>
            <w:tcW w:w="1080" w:type="dxa"/>
            <w:vAlign w:val="center"/>
          </w:tcPr>
          <w:p w14:paraId="2BA38929">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张旻桓</w:t>
            </w:r>
          </w:p>
        </w:tc>
        <w:tc>
          <w:tcPr>
            <w:tcW w:w="680" w:type="dxa"/>
            <w:vAlign w:val="center"/>
          </w:tcPr>
          <w:p w14:paraId="3BD1A64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副教授</w:t>
            </w:r>
          </w:p>
        </w:tc>
        <w:tc>
          <w:tcPr>
            <w:tcW w:w="1330" w:type="dxa"/>
            <w:vAlign w:val="center"/>
          </w:tcPr>
          <w:p w14:paraId="74E527C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中江芍药产业大会暨中国园艺学会牡丹芍药分会学术年会</w:t>
            </w:r>
          </w:p>
        </w:tc>
        <w:tc>
          <w:tcPr>
            <w:tcW w:w="690" w:type="dxa"/>
            <w:vAlign w:val="center"/>
          </w:tcPr>
          <w:p w14:paraId="1634787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国内会议</w:t>
            </w:r>
          </w:p>
        </w:tc>
        <w:tc>
          <w:tcPr>
            <w:tcW w:w="700" w:type="dxa"/>
            <w:vAlign w:val="center"/>
          </w:tcPr>
          <w:p w14:paraId="75FDCE9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四川中江</w:t>
            </w:r>
          </w:p>
        </w:tc>
        <w:tc>
          <w:tcPr>
            <w:tcW w:w="880" w:type="dxa"/>
            <w:vAlign w:val="center"/>
          </w:tcPr>
          <w:p w14:paraId="24EB1F2B">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202404</w:t>
            </w:r>
          </w:p>
        </w:tc>
        <w:tc>
          <w:tcPr>
            <w:tcW w:w="2531" w:type="dxa"/>
            <w:vAlign w:val="center"/>
          </w:tcPr>
          <w:p w14:paraId="6B1783F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牡丹耐热种质资源及育种</w:t>
            </w:r>
            <w:r>
              <w:rPr>
                <w:rFonts w:ascii="Times New Roman" w:hAnsi="Times New Roman" w:eastAsia="新宋体" w:cs="Times New Roman"/>
                <w:color w:val="000000"/>
                <w:shd w:val="clear" w:color="auto" w:fill="FFFFFF"/>
              </w:rPr>
              <w:t>/口头报告</w:t>
            </w:r>
          </w:p>
        </w:tc>
      </w:tr>
      <w:tr w14:paraId="186C7A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vAlign w:val="center"/>
          </w:tcPr>
          <w:p w14:paraId="093B8D1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10</w:t>
            </w:r>
          </w:p>
        </w:tc>
        <w:tc>
          <w:tcPr>
            <w:tcW w:w="1080" w:type="dxa"/>
            <w:vAlign w:val="center"/>
          </w:tcPr>
          <w:p w14:paraId="4CA0273C">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李启珍</w:t>
            </w:r>
          </w:p>
        </w:tc>
        <w:tc>
          <w:tcPr>
            <w:tcW w:w="680" w:type="dxa"/>
            <w:vAlign w:val="center"/>
          </w:tcPr>
          <w:p w14:paraId="370E0303">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讲师</w:t>
            </w:r>
          </w:p>
        </w:tc>
        <w:tc>
          <w:tcPr>
            <w:tcW w:w="1330" w:type="dxa"/>
            <w:vAlign w:val="center"/>
          </w:tcPr>
          <w:p w14:paraId="2F96583E">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农林学科工作委员会林业学科协作组第七届学术交流会</w:t>
            </w:r>
          </w:p>
        </w:tc>
        <w:tc>
          <w:tcPr>
            <w:tcW w:w="690" w:type="dxa"/>
            <w:vAlign w:val="center"/>
          </w:tcPr>
          <w:p w14:paraId="35C4074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国内会议</w:t>
            </w:r>
          </w:p>
        </w:tc>
        <w:tc>
          <w:tcPr>
            <w:tcW w:w="700" w:type="dxa"/>
            <w:vAlign w:val="center"/>
          </w:tcPr>
          <w:p w14:paraId="3C5931CC">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江苏南京</w:t>
            </w:r>
          </w:p>
        </w:tc>
        <w:tc>
          <w:tcPr>
            <w:tcW w:w="880" w:type="dxa"/>
            <w:vAlign w:val="center"/>
          </w:tcPr>
          <w:p w14:paraId="44D83F9E">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202411</w:t>
            </w:r>
          </w:p>
        </w:tc>
        <w:tc>
          <w:tcPr>
            <w:tcW w:w="2531" w:type="dxa"/>
            <w:vAlign w:val="center"/>
          </w:tcPr>
          <w:p w14:paraId="370D6871">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城市绿色空间与城市发展耦合关系研究/口头报告</w:t>
            </w:r>
          </w:p>
        </w:tc>
      </w:tr>
      <w:tr w14:paraId="7C5AE1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vAlign w:val="center"/>
          </w:tcPr>
          <w:p w14:paraId="4DFA5BE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11</w:t>
            </w:r>
          </w:p>
        </w:tc>
        <w:tc>
          <w:tcPr>
            <w:tcW w:w="1080" w:type="dxa"/>
            <w:vAlign w:val="center"/>
          </w:tcPr>
          <w:p w14:paraId="18A43F6E">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曹基武</w:t>
            </w:r>
          </w:p>
        </w:tc>
        <w:tc>
          <w:tcPr>
            <w:tcW w:w="680" w:type="dxa"/>
            <w:vAlign w:val="center"/>
          </w:tcPr>
          <w:p w14:paraId="70220D44">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教授</w:t>
            </w:r>
          </w:p>
        </w:tc>
        <w:tc>
          <w:tcPr>
            <w:tcW w:w="1330" w:type="dxa"/>
            <w:vAlign w:val="center"/>
          </w:tcPr>
          <w:p w14:paraId="6563CD4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eastAsia="宋体" w:cs="Times New Roman"/>
                <w:color w:val="000000"/>
                <w:kern w:val="0"/>
                <w:szCs w:val="21"/>
                <w:lang w:bidi="ar"/>
              </w:rPr>
            </w:pPr>
            <w:r>
              <w:rPr>
                <w:rFonts w:ascii="Times New Roman" w:hAnsi="Times New Roman" w:eastAsia="宋体" w:cs="Times New Roman"/>
                <w:color w:val="000000"/>
                <w:spacing w:val="0"/>
                <w:kern w:val="0"/>
                <w:sz w:val="21"/>
                <w:szCs w:val="21"/>
                <w:lang w:bidi="ar"/>
              </w:rPr>
              <w:t>第二届南方古树名木保护技术交流会暨古树名木保护高质量发展推进会</w:t>
            </w:r>
          </w:p>
        </w:tc>
        <w:tc>
          <w:tcPr>
            <w:tcW w:w="690" w:type="dxa"/>
            <w:vAlign w:val="center"/>
          </w:tcPr>
          <w:p w14:paraId="40C72C6E">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国内会议</w:t>
            </w:r>
          </w:p>
        </w:tc>
        <w:tc>
          <w:tcPr>
            <w:tcW w:w="700" w:type="dxa"/>
            <w:vAlign w:val="center"/>
          </w:tcPr>
          <w:p w14:paraId="340059AB">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湖南省永州市</w:t>
            </w:r>
          </w:p>
        </w:tc>
        <w:tc>
          <w:tcPr>
            <w:tcW w:w="880" w:type="dxa"/>
            <w:vAlign w:val="center"/>
          </w:tcPr>
          <w:p w14:paraId="0C7CC992">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202411</w:t>
            </w:r>
          </w:p>
        </w:tc>
        <w:tc>
          <w:tcPr>
            <w:tcW w:w="2531" w:type="dxa"/>
            <w:vAlign w:val="center"/>
          </w:tcPr>
          <w:p w14:paraId="2A4D8E5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承办会议负责人、主持会议</w:t>
            </w:r>
          </w:p>
        </w:tc>
      </w:tr>
      <w:tr w14:paraId="3B412C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0" w:hRule="atLeast"/>
        </w:trPr>
        <w:tc>
          <w:tcPr>
            <w:tcW w:w="669" w:type="dxa"/>
            <w:vAlign w:val="center"/>
          </w:tcPr>
          <w:p w14:paraId="4CEBD382">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12</w:t>
            </w:r>
          </w:p>
        </w:tc>
        <w:tc>
          <w:tcPr>
            <w:tcW w:w="1080" w:type="dxa"/>
            <w:vAlign w:val="center"/>
          </w:tcPr>
          <w:p w14:paraId="0E1DF434">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王晓红</w:t>
            </w:r>
          </w:p>
        </w:tc>
        <w:tc>
          <w:tcPr>
            <w:tcW w:w="680" w:type="dxa"/>
            <w:vAlign w:val="center"/>
          </w:tcPr>
          <w:p w14:paraId="2E2E176E">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副教授</w:t>
            </w:r>
          </w:p>
        </w:tc>
        <w:tc>
          <w:tcPr>
            <w:tcW w:w="1330" w:type="dxa"/>
            <w:vAlign w:val="center"/>
          </w:tcPr>
          <w:p w14:paraId="394594B4">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中国园艺学会观赏园艺学术研讨会</w:t>
            </w:r>
          </w:p>
        </w:tc>
        <w:tc>
          <w:tcPr>
            <w:tcW w:w="690" w:type="dxa"/>
            <w:vAlign w:val="center"/>
          </w:tcPr>
          <w:p w14:paraId="3D668AA4">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国内会议</w:t>
            </w:r>
          </w:p>
        </w:tc>
        <w:tc>
          <w:tcPr>
            <w:tcW w:w="700" w:type="dxa"/>
            <w:vAlign w:val="center"/>
          </w:tcPr>
          <w:p w14:paraId="21E199D6">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云南昆明</w:t>
            </w:r>
          </w:p>
        </w:tc>
        <w:tc>
          <w:tcPr>
            <w:tcW w:w="880" w:type="dxa"/>
            <w:vAlign w:val="center"/>
          </w:tcPr>
          <w:p w14:paraId="66D75B91">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202408</w:t>
            </w:r>
          </w:p>
        </w:tc>
        <w:tc>
          <w:tcPr>
            <w:tcW w:w="2531" w:type="dxa"/>
            <w:vAlign w:val="center"/>
          </w:tcPr>
          <w:p w14:paraId="6EE0A5A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cs="Times New Roman" w:eastAsiaTheme="majorEastAsia"/>
                <w:b/>
                <w:bCs/>
                <w:color w:val="000000" w:themeColor="text1"/>
                <w:szCs w:val="21"/>
                <w14:textFill>
                  <w14:solidFill>
                    <w14:schemeClr w14:val="tx1"/>
                  </w14:solidFill>
                </w14:textFill>
              </w:rPr>
            </w:pPr>
            <w:r>
              <w:rPr>
                <w:rFonts w:hint="eastAsia" w:ascii="Times New Roman" w:hAnsi="Times New Roman" w:eastAsia="新宋体" w:cs="Times New Roman"/>
                <w:color w:val="000000" w:themeColor="text1"/>
                <w:shd w:val="clear" w:color="auto" w:fill="FFFFFF"/>
                <w14:textFill>
                  <w14:solidFill>
                    <w14:schemeClr w14:val="tx1"/>
                  </w14:solidFill>
                </w14:textFill>
              </w:rPr>
              <w:t>木槿种子败育的胚胎学观察和生理生化研究</w:t>
            </w:r>
            <w:r>
              <w:rPr>
                <w:rFonts w:ascii="Times New Roman" w:hAnsi="Times New Roman" w:eastAsia="新宋体" w:cs="Times New Roman"/>
                <w:color w:val="000000" w:themeColor="text1"/>
                <w:shd w:val="clear" w:color="auto" w:fill="FFFFFF"/>
                <w14:textFill>
                  <w14:solidFill>
                    <w14:schemeClr w14:val="tx1"/>
                  </w14:solidFill>
                </w14:textFill>
              </w:rPr>
              <w:t>/口头报告</w:t>
            </w:r>
          </w:p>
        </w:tc>
      </w:tr>
      <w:tr w14:paraId="0E0F73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vAlign w:val="center"/>
          </w:tcPr>
          <w:p w14:paraId="1F8D45A7">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13</w:t>
            </w:r>
          </w:p>
        </w:tc>
        <w:tc>
          <w:tcPr>
            <w:tcW w:w="1080" w:type="dxa"/>
            <w:vAlign w:val="center"/>
          </w:tcPr>
          <w:p w14:paraId="09B5C9F3">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邱慧</w:t>
            </w:r>
          </w:p>
        </w:tc>
        <w:tc>
          <w:tcPr>
            <w:tcW w:w="680" w:type="dxa"/>
            <w:vAlign w:val="center"/>
          </w:tcPr>
          <w:p w14:paraId="1E111E2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副教授</w:t>
            </w:r>
          </w:p>
        </w:tc>
        <w:tc>
          <w:tcPr>
            <w:tcW w:w="1330" w:type="dxa"/>
            <w:vAlign w:val="center"/>
          </w:tcPr>
          <w:p w14:paraId="11BFBFAD">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Heritage and Landscape Conservation Conference</w:t>
            </w:r>
          </w:p>
        </w:tc>
        <w:tc>
          <w:tcPr>
            <w:tcW w:w="690" w:type="dxa"/>
            <w:vAlign w:val="center"/>
          </w:tcPr>
          <w:p w14:paraId="0429181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国内会议</w:t>
            </w:r>
          </w:p>
        </w:tc>
        <w:tc>
          <w:tcPr>
            <w:tcW w:w="700" w:type="dxa"/>
            <w:vAlign w:val="center"/>
          </w:tcPr>
          <w:p w14:paraId="378D9500">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北京林业大学</w:t>
            </w:r>
          </w:p>
        </w:tc>
        <w:tc>
          <w:tcPr>
            <w:tcW w:w="880" w:type="dxa"/>
            <w:vAlign w:val="center"/>
          </w:tcPr>
          <w:p w14:paraId="1548FC19">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2024</w:t>
            </w:r>
          </w:p>
          <w:p w14:paraId="72C2503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p>
          <w:p w14:paraId="4D9A03C1">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1116</w:t>
            </w:r>
          </w:p>
        </w:tc>
        <w:tc>
          <w:tcPr>
            <w:tcW w:w="2531" w:type="dxa"/>
            <w:vAlign w:val="center"/>
          </w:tcPr>
          <w:p w14:paraId="288EEC64">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中国园林跨文化传播时空特征研究</w:t>
            </w:r>
            <w:r>
              <w:rPr>
                <w:rFonts w:ascii="Times New Roman" w:hAnsi="Times New Roman" w:eastAsia="新宋体" w:cs="Times New Roman"/>
                <w:color w:val="000000"/>
                <w:shd w:val="clear" w:color="auto" w:fill="FFFFFF"/>
              </w:rPr>
              <w:t>/口头报告</w:t>
            </w:r>
          </w:p>
        </w:tc>
      </w:tr>
      <w:tr w14:paraId="4CA434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vAlign w:val="center"/>
          </w:tcPr>
          <w:p w14:paraId="1AF9931C">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14</w:t>
            </w:r>
          </w:p>
        </w:tc>
        <w:tc>
          <w:tcPr>
            <w:tcW w:w="1080" w:type="dxa"/>
            <w:vAlign w:val="center"/>
          </w:tcPr>
          <w:p w14:paraId="55430E54">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雍玉冰</w:t>
            </w:r>
          </w:p>
          <w:p w14:paraId="738D666C">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p>
        </w:tc>
        <w:tc>
          <w:tcPr>
            <w:tcW w:w="680" w:type="dxa"/>
            <w:vAlign w:val="center"/>
          </w:tcPr>
          <w:p w14:paraId="129F217E">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副教授</w:t>
            </w:r>
          </w:p>
        </w:tc>
        <w:tc>
          <w:tcPr>
            <w:tcW w:w="1330" w:type="dxa"/>
            <w:vAlign w:val="center"/>
          </w:tcPr>
          <w:p w14:paraId="7DD493B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花卉产业青年科技论坛</w:t>
            </w:r>
          </w:p>
        </w:tc>
        <w:tc>
          <w:tcPr>
            <w:tcW w:w="690" w:type="dxa"/>
            <w:vAlign w:val="center"/>
          </w:tcPr>
          <w:p w14:paraId="5F34F05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国内会议</w:t>
            </w:r>
          </w:p>
        </w:tc>
        <w:tc>
          <w:tcPr>
            <w:tcW w:w="700" w:type="dxa"/>
            <w:vAlign w:val="center"/>
          </w:tcPr>
          <w:p w14:paraId="0CF4E717">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湖北武汉</w:t>
            </w:r>
          </w:p>
        </w:tc>
        <w:tc>
          <w:tcPr>
            <w:tcW w:w="880" w:type="dxa"/>
            <w:vAlign w:val="center"/>
          </w:tcPr>
          <w:p w14:paraId="2A521AA6">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202410</w:t>
            </w:r>
          </w:p>
        </w:tc>
        <w:tc>
          <w:tcPr>
            <w:tcW w:w="2531" w:type="dxa"/>
            <w:vAlign w:val="center"/>
          </w:tcPr>
          <w:p w14:paraId="2AD51C1C">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cs="Times New Roman" w:eastAsiaTheme="majorEastAsia"/>
                <w:bCs/>
                <w:color w:val="000000" w:themeColor="text1"/>
                <w:szCs w:val="21"/>
                <w14:textFill>
                  <w14:solidFill>
                    <w14:schemeClr w14:val="tx1"/>
                  </w14:solidFill>
                </w14:textFill>
              </w:rPr>
            </w:pPr>
            <w:r>
              <w:rPr>
                <w:rFonts w:ascii="Times New Roman" w:hAnsi="Times New Roman" w:eastAsia="新宋体" w:cs="Times New Roman"/>
                <w:color w:val="000000"/>
                <w:spacing w:val="8"/>
                <w:shd w:val="clear" w:color="auto" w:fill="FFFFFF"/>
              </w:rPr>
              <w:t>百合LlR3MYB转录因子调控类黄酮介导的低温胁迫响应机制研究</w:t>
            </w:r>
            <w:r>
              <w:rPr>
                <w:rFonts w:ascii="Times New Roman" w:hAnsi="Times New Roman" w:eastAsia="新宋体" w:cs="Times New Roman"/>
                <w:color w:val="000000"/>
                <w:shd w:val="clear" w:color="auto" w:fill="FFFFFF"/>
              </w:rPr>
              <w:t>/口头报告</w:t>
            </w:r>
          </w:p>
        </w:tc>
      </w:tr>
      <w:tr w14:paraId="360403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vAlign w:val="center"/>
          </w:tcPr>
          <w:p w14:paraId="3CA47B0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15</w:t>
            </w:r>
          </w:p>
        </w:tc>
        <w:tc>
          <w:tcPr>
            <w:tcW w:w="1080" w:type="dxa"/>
            <w:vAlign w:val="center"/>
          </w:tcPr>
          <w:p w14:paraId="0D11BD81">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武星彤</w:t>
            </w:r>
          </w:p>
        </w:tc>
        <w:tc>
          <w:tcPr>
            <w:tcW w:w="680" w:type="dxa"/>
            <w:vAlign w:val="center"/>
          </w:tcPr>
          <w:p w14:paraId="7C9FA32D">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讲师</w:t>
            </w:r>
          </w:p>
        </w:tc>
        <w:tc>
          <w:tcPr>
            <w:tcW w:w="1330" w:type="dxa"/>
            <w:vAlign w:val="center"/>
          </w:tcPr>
          <w:p w14:paraId="1343E0B9">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花卉产业青年科技论坛</w:t>
            </w:r>
          </w:p>
        </w:tc>
        <w:tc>
          <w:tcPr>
            <w:tcW w:w="690" w:type="dxa"/>
            <w:vAlign w:val="center"/>
          </w:tcPr>
          <w:p w14:paraId="2E10D7EC">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国内会议</w:t>
            </w:r>
          </w:p>
        </w:tc>
        <w:tc>
          <w:tcPr>
            <w:tcW w:w="700" w:type="dxa"/>
            <w:vAlign w:val="center"/>
          </w:tcPr>
          <w:p w14:paraId="573853D9">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湖北武汉</w:t>
            </w:r>
          </w:p>
        </w:tc>
        <w:tc>
          <w:tcPr>
            <w:tcW w:w="880" w:type="dxa"/>
            <w:vAlign w:val="center"/>
          </w:tcPr>
          <w:p w14:paraId="26F580E1">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202410</w:t>
            </w:r>
          </w:p>
        </w:tc>
        <w:tc>
          <w:tcPr>
            <w:tcW w:w="2531" w:type="dxa"/>
            <w:vAlign w:val="center"/>
          </w:tcPr>
          <w:p w14:paraId="335DF16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eastAsia="新宋体" w:cs="Times New Roman"/>
                <w:color w:val="000000"/>
                <w:spacing w:val="8"/>
                <w:shd w:val="clear" w:color="auto" w:fill="FFFFFF"/>
              </w:rPr>
            </w:pPr>
            <w:r>
              <w:rPr>
                <w:rFonts w:ascii="Times New Roman" w:hAnsi="Times New Roman" w:eastAsia="新宋体" w:cs="Times New Roman"/>
                <w:color w:val="000000"/>
                <w:spacing w:val="8"/>
                <w:shd w:val="clear" w:color="auto" w:fill="FFFFFF"/>
              </w:rPr>
              <w:t>红豆杉属新种</w:t>
            </w:r>
            <w:r>
              <w:rPr>
                <w:rFonts w:hint="eastAsia" w:ascii="Times New Roman" w:hAnsi="Times New Roman" w:eastAsia="新宋体" w:cs="Times New Roman"/>
                <w:color w:val="000000"/>
                <w:spacing w:val="8"/>
                <w:shd w:val="clear" w:color="auto" w:fill="FFFFFF"/>
                <w:lang w:val="en-US" w:eastAsia="zh-CN"/>
              </w:rPr>
              <w:t>-</w:t>
            </w:r>
            <w:r>
              <w:rPr>
                <w:rFonts w:ascii="Times New Roman" w:hAnsi="Times New Roman" w:eastAsia="新宋体" w:cs="Times New Roman"/>
                <w:color w:val="000000"/>
                <w:spacing w:val="8"/>
                <w:shd w:val="clear" w:color="auto" w:fill="FFFFFF"/>
              </w:rPr>
              <w:t>秦岭红豆杉</w:t>
            </w:r>
            <w:r>
              <w:rPr>
                <w:rFonts w:ascii="Times New Roman" w:hAnsi="Times New Roman" w:eastAsia="新宋体" w:cs="Times New Roman"/>
                <w:color w:val="000000"/>
                <w:shd w:val="clear" w:color="auto" w:fill="FFFFFF"/>
              </w:rPr>
              <w:t>/口头报告</w:t>
            </w:r>
          </w:p>
        </w:tc>
      </w:tr>
    </w:tbl>
    <w:p w14:paraId="69BF80C4">
      <w:pPr>
        <w:pStyle w:val="4"/>
        <w:keepNext w:val="0"/>
        <w:keepLines w:val="0"/>
        <w:pageBreakBefore w:val="0"/>
        <w:widowControl w:val="0"/>
        <w:kinsoku/>
        <w:wordWrap/>
        <w:overflowPunct w:val="0"/>
        <w:topLinePunct w:val="0"/>
        <w:autoSpaceDE/>
        <w:autoSpaceDN/>
        <w:bidi w:val="0"/>
        <w:adjustRightInd/>
        <w:snapToGrid w:val="0"/>
        <w:spacing w:before="132" w:beforeLines="30" w:line="360" w:lineRule="auto"/>
        <w:ind w:left="0" w:leftChars="0" w:right="0" w:rightChars="0" w:firstLine="560" w:firstLineChars="200"/>
        <w:jc w:val="left"/>
        <w:textAlignment w:val="auto"/>
        <w:rPr>
          <w:rFonts w:ascii="Times New Roman" w:hAnsi="Times New Roman" w:cs="Times New Roman"/>
          <w:bCs w:val="0"/>
        </w:rPr>
      </w:pPr>
      <w:bookmarkStart w:id="10" w:name="_Toc28828"/>
      <w:r>
        <w:rPr>
          <w:rFonts w:hint="eastAsia"/>
          <w:b w:val="0"/>
          <w:bCs/>
          <w:sz w:val="28"/>
          <w:szCs w:val="28"/>
          <w:lang w:eastAsia="zh-CN"/>
        </w:rPr>
        <w:t>（</w:t>
      </w:r>
      <w:r>
        <w:rPr>
          <w:rFonts w:hint="eastAsia"/>
          <w:b w:val="0"/>
          <w:bCs/>
          <w:sz w:val="28"/>
          <w:szCs w:val="28"/>
          <w:lang w:val="en-US" w:eastAsia="zh-CN"/>
        </w:rPr>
        <w:t>三</w:t>
      </w:r>
      <w:r>
        <w:rPr>
          <w:rFonts w:hint="eastAsia"/>
          <w:b w:val="0"/>
          <w:bCs/>
          <w:sz w:val="28"/>
          <w:szCs w:val="28"/>
          <w:lang w:eastAsia="zh-CN"/>
        </w:rPr>
        <w:t>）</w:t>
      </w:r>
      <w:r>
        <w:rPr>
          <w:rFonts w:hint="default" w:ascii="黑体" w:hAnsi="黑体" w:eastAsia="黑体" w:cs="黑体"/>
          <w:b w:val="0"/>
          <w:bCs/>
          <w:sz w:val="28"/>
          <w:szCs w:val="28"/>
          <w:lang w:val="en-US" w:eastAsia="zh-CN"/>
        </w:rPr>
        <w:t>科学研究和社会服务</w:t>
      </w:r>
      <w:bookmarkEnd w:id="10"/>
    </w:p>
    <w:p w14:paraId="03DAC689">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firstLine="480" w:firstLineChars="200"/>
        <w:jc w:val="left"/>
        <w:textAlignment w:val="auto"/>
        <w:outlineLvl w:val="2"/>
        <w:rPr>
          <w:rStyle w:val="27"/>
          <w:rFonts w:hint="default" w:ascii="Times New Roman" w:hAnsi="Times New Roman" w:eastAsia="黑体" w:cs="Times New Roman"/>
          <w:b w:val="0"/>
          <w:bCs/>
          <w:sz w:val="24"/>
          <w:szCs w:val="24"/>
          <w:lang w:val="en-US" w:eastAsia="zh-CN"/>
        </w:rPr>
      </w:pPr>
      <w:r>
        <w:rPr>
          <w:rStyle w:val="27"/>
          <w:rFonts w:hint="default" w:ascii="Times New Roman" w:hAnsi="Times New Roman" w:eastAsia="黑体" w:cs="Times New Roman"/>
          <w:b w:val="0"/>
          <w:bCs/>
          <w:sz w:val="24"/>
          <w:szCs w:val="24"/>
          <w:lang w:val="en-US" w:eastAsia="zh-CN"/>
        </w:rPr>
        <w:t>1.论文质量</w:t>
      </w:r>
    </w:p>
    <w:p w14:paraId="5ED542F4">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ascii="Times New Roman" w:hAnsi="Times New Roman" w:cs="Times New Roman" w:eastAsiaTheme="majorEastAsia"/>
          <w:b/>
          <w:color w:val="000000"/>
          <w:szCs w:val="21"/>
        </w:rPr>
      </w:pPr>
      <w:r>
        <w:rPr>
          <w:rFonts w:hint="default" w:ascii="Times New Roman" w:hAnsi="Times New Roman" w:eastAsia="宋体" w:cs="Times New Roman"/>
          <w:color w:val="000000"/>
          <w:kern w:val="0"/>
          <w:sz w:val="24"/>
          <w:szCs w:val="24"/>
          <w:lang w:bidi="ar"/>
        </w:rPr>
        <w:t>2024年学位点师生在《Sustainable Cities and Society》、《Land》、《中国园林》等国内外高水平期刊发表学术论文90余篇，其中 SCI 收录 23 篇，CSCD收录18篇。</w:t>
      </w:r>
    </w:p>
    <w:p w14:paraId="29503E32">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color w:val="000000"/>
          <w:szCs w:val="21"/>
        </w:rPr>
      </w:pPr>
      <w:r>
        <w:rPr>
          <w:rFonts w:hint="default" w:ascii="Times New Roman" w:hAnsi="Times New Roman" w:eastAsia="宋体" w:cs="Times New Roman"/>
          <w:b/>
          <w:color w:val="000000"/>
          <w:szCs w:val="21"/>
        </w:rPr>
        <w:t>表8 发表论文（以中南林业科技</w:t>
      </w:r>
      <w:r>
        <w:rPr>
          <w:rFonts w:hint="eastAsia" w:ascii="宋体" w:hAnsi="宋体" w:eastAsia="宋体" w:cs="宋体"/>
          <w:b/>
          <w:color w:val="000000"/>
          <w:szCs w:val="21"/>
        </w:rPr>
        <w:t>大学为第一单位）</w:t>
      </w:r>
      <w:r>
        <w:rPr>
          <w:rFonts w:ascii="Times New Roman" w:hAnsi="Times New Roman" w:cs="Times New Roman" w:eastAsiaTheme="majorEastAsia"/>
          <w:b/>
          <w:color w:val="000000"/>
          <w:szCs w:val="21"/>
        </w:rPr>
        <w:t xml:space="preserve">  </w:t>
      </w:r>
    </w:p>
    <w:tbl>
      <w:tblPr>
        <w:tblStyle w:val="1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
        <w:gridCol w:w="3960"/>
        <w:gridCol w:w="1692"/>
        <w:gridCol w:w="1545"/>
        <w:gridCol w:w="909"/>
      </w:tblGrid>
      <w:tr w14:paraId="40EF8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8" w:type="pct"/>
            <w:vAlign w:val="center"/>
          </w:tcPr>
          <w:p w14:paraId="1C906759">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序号</w:t>
            </w:r>
          </w:p>
        </w:tc>
        <w:tc>
          <w:tcPr>
            <w:tcW w:w="2291" w:type="pct"/>
            <w:vAlign w:val="center"/>
          </w:tcPr>
          <w:p w14:paraId="347A8F9B">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论文题目</w:t>
            </w:r>
          </w:p>
        </w:tc>
        <w:tc>
          <w:tcPr>
            <w:tcW w:w="979" w:type="pct"/>
            <w:vAlign w:val="center"/>
          </w:tcPr>
          <w:p w14:paraId="72CDE278">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第一和通讯作者</w:t>
            </w:r>
          </w:p>
        </w:tc>
        <w:tc>
          <w:tcPr>
            <w:tcW w:w="894" w:type="pct"/>
            <w:vAlign w:val="center"/>
          </w:tcPr>
          <w:p w14:paraId="2A85C298">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刊物</w:t>
            </w:r>
          </w:p>
        </w:tc>
        <w:tc>
          <w:tcPr>
            <w:tcW w:w="525" w:type="pct"/>
            <w:vAlign w:val="center"/>
          </w:tcPr>
          <w:p w14:paraId="16AD9B72">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发表</w:t>
            </w:r>
          </w:p>
          <w:p w14:paraId="3800D1AD">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时间</w:t>
            </w:r>
          </w:p>
        </w:tc>
      </w:tr>
      <w:tr w14:paraId="12938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8" w:type="pct"/>
            <w:vAlign w:val="center"/>
          </w:tcPr>
          <w:p w14:paraId="763951E4">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1</w:t>
            </w:r>
          </w:p>
        </w:tc>
        <w:tc>
          <w:tcPr>
            <w:tcW w:w="2291" w:type="pct"/>
            <w:vAlign w:val="bottom"/>
          </w:tcPr>
          <w:p w14:paraId="100787DA">
            <w:pPr>
              <w:keepNext w:val="0"/>
              <w:keepLines w:val="0"/>
              <w:pageBreakBefore w:val="0"/>
              <w:widowControl w:val="0"/>
              <w:kinsoku/>
              <w:wordWrap/>
              <w:overflowPunct w:val="0"/>
              <w:topLinePunct w:val="0"/>
              <w:autoSpaceDE/>
              <w:autoSpaceDN/>
              <w:bidi w:val="0"/>
              <w:spacing w:line="320" w:lineRule="exact"/>
              <w:ind w:left="0" w:leftChars="0" w:right="0" w:rightChars="0"/>
              <w:jc w:val="left"/>
              <w:rPr>
                <w:rFonts w:ascii="Times New Roman" w:hAnsi="Times New Roman" w:cs="Times New Roman" w:eastAsiaTheme="majorEastAsia"/>
                <w:b/>
                <w:sz w:val="21"/>
                <w:szCs w:val="21"/>
              </w:rPr>
            </w:pPr>
            <w:r>
              <w:rPr>
                <w:rFonts w:ascii="Times New Roman" w:hAnsi="Times New Roman" w:cs="Times New Roman" w:eastAsiaTheme="majorEastAsia"/>
                <w:kern w:val="0"/>
                <w:sz w:val="21"/>
                <w:szCs w:val="21"/>
              </w:rPr>
              <w:t>Estimating the Vertical Distribution of Biomass in Subtropical Tree Species Using an Integrated Random Forest and Least Squares Machine Learning Mode</w:t>
            </w:r>
          </w:p>
        </w:tc>
        <w:tc>
          <w:tcPr>
            <w:tcW w:w="979" w:type="pct"/>
            <w:vAlign w:val="center"/>
          </w:tcPr>
          <w:p w14:paraId="0BF36421">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eastAsia="宋体" w:cs="Times New Roman"/>
                <w:color w:val="000000"/>
                <w:kern w:val="0"/>
                <w:sz w:val="21"/>
                <w:szCs w:val="21"/>
                <w:lang w:bidi="ar"/>
              </w:rPr>
              <w:t>李果（第一作者），胡文敏（通讯作者）</w:t>
            </w:r>
          </w:p>
        </w:tc>
        <w:tc>
          <w:tcPr>
            <w:tcW w:w="894" w:type="pct"/>
            <w:vAlign w:val="center"/>
          </w:tcPr>
          <w:p w14:paraId="135506BB">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hint="eastAsia" w:ascii="Times New Roman" w:hAnsi="Times New Roman" w:cs="Times New Roman" w:eastAsiaTheme="majorEastAsia"/>
                <w:kern w:val="0"/>
                <w:sz w:val="21"/>
                <w:szCs w:val="21"/>
              </w:rPr>
              <w:t>F</w:t>
            </w:r>
            <w:r>
              <w:rPr>
                <w:rFonts w:ascii="Times New Roman" w:hAnsi="Times New Roman" w:cs="Times New Roman" w:eastAsiaTheme="majorEastAsia"/>
                <w:kern w:val="0"/>
                <w:sz w:val="21"/>
                <w:szCs w:val="21"/>
              </w:rPr>
              <w:t>orests</w:t>
            </w:r>
          </w:p>
        </w:tc>
        <w:tc>
          <w:tcPr>
            <w:tcW w:w="525" w:type="pct"/>
            <w:vAlign w:val="center"/>
          </w:tcPr>
          <w:p w14:paraId="3FEFE503">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eastAsia="宋体" w:cs="Times New Roman"/>
                <w:color w:val="000000"/>
                <w:kern w:val="0"/>
                <w:sz w:val="21"/>
                <w:szCs w:val="21"/>
                <w:lang w:bidi="ar"/>
              </w:rPr>
              <w:t>202406</w:t>
            </w:r>
          </w:p>
        </w:tc>
      </w:tr>
      <w:tr w14:paraId="4627E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8" w:type="pct"/>
            <w:vAlign w:val="center"/>
          </w:tcPr>
          <w:p w14:paraId="53BE21C4">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2</w:t>
            </w:r>
          </w:p>
        </w:tc>
        <w:tc>
          <w:tcPr>
            <w:tcW w:w="2291" w:type="pct"/>
            <w:vAlign w:val="bottom"/>
          </w:tcPr>
          <w:p w14:paraId="402245ED">
            <w:pPr>
              <w:keepNext w:val="0"/>
              <w:keepLines w:val="0"/>
              <w:pageBreakBefore w:val="0"/>
              <w:widowControl w:val="0"/>
              <w:kinsoku/>
              <w:wordWrap/>
              <w:overflowPunct w:val="0"/>
              <w:topLinePunct w:val="0"/>
              <w:autoSpaceDE/>
              <w:autoSpaceDN/>
              <w:bidi w:val="0"/>
              <w:spacing w:line="320" w:lineRule="exact"/>
              <w:ind w:left="0" w:leftChars="0" w:right="0" w:rightChars="0"/>
              <w:jc w:val="left"/>
              <w:rPr>
                <w:rFonts w:ascii="Times New Roman" w:hAnsi="Times New Roman" w:cs="Times New Roman" w:eastAsiaTheme="majorEastAsia"/>
                <w:kern w:val="0"/>
                <w:sz w:val="21"/>
                <w:szCs w:val="21"/>
              </w:rPr>
            </w:pPr>
            <w:r>
              <w:rPr>
                <w:rFonts w:ascii="Times New Roman" w:hAnsi="Times New Roman" w:cs="Times New Roman" w:eastAsiaTheme="majorEastAsia"/>
                <w:kern w:val="0"/>
                <w:sz w:val="21"/>
                <w:szCs w:val="21"/>
              </w:rPr>
              <w:t>Assessing Landscape Ecological Risk in the Southern Hill and Mountain Belt of China: A 30-Year Analysis and Future Projection</w:t>
            </w:r>
          </w:p>
        </w:tc>
        <w:tc>
          <w:tcPr>
            <w:tcW w:w="979" w:type="pct"/>
            <w:vAlign w:val="center"/>
          </w:tcPr>
          <w:p w14:paraId="7DE17A3F">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王烨梓（第一作者），胡希军（通讯作者）</w:t>
            </w:r>
          </w:p>
        </w:tc>
        <w:tc>
          <w:tcPr>
            <w:tcW w:w="894" w:type="pct"/>
            <w:vAlign w:val="center"/>
          </w:tcPr>
          <w:p w14:paraId="4E1BCB55">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kern w:val="0"/>
                <w:sz w:val="21"/>
                <w:szCs w:val="21"/>
              </w:rPr>
            </w:pPr>
            <w:r>
              <w:rPr>
                <w:rFonts w:ascii="Times New Roman" w:hAnsi="Times New Roman" w:cs="Times New Roman" w:eastAsiaTheme="majorEastAsia"/>
                <w:kern w:val="0"/>
                <w:sz w:val="21"/>
                <w:szCs w:val="21"/>
              </w:rPr>
              <w:t>Ecological Indicators</w:t>
            </w:r>
          </w:p>
        </w:tc>
        <w:tc>
          <w:tcPr>
            <w:tcW w:w="525" w:type="pct"/>
            <w:vAlign w:val="center"/>
          </w:tcPr>
          <w:p w14:paraId="1B544CE1">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202406</w:t>
            </w:r>
          </w:p>
        </w:tc>
      </w:tr>
      <w:tr w14:paraId="691C3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308" w:type="pct"/>
            <w:vAlign w:val="center"/>
          </w:tcPr>
          <w:p w14:paraId="633A8E91">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3</w:t>
            </w:r>
          </w:p>
        </w:tc>
        <w:tc>
          <w:tcPr>
            <w:tcW w:w="2291" w:type="pct"/>
            <w:vAlign w:val="bottom"/>
          </w:tcPr>
          <w:p w14:paraId="587C3DFF">
            <w:pPr>
              <w:keepNext w:val="0"/>
              <w:keepLines w:val="0"/>
              <w:pageBreakBefore w:val="0"/>
              <w:widowControl w:val="0"/>
              <w:kinsoku/>
              <w:wordWrap/>
              <w:overflowPunct w:val="0"/>
              <w:topLinePunct w:val="0"/>
              <w:autoSpaceDE/>
              <w:autoSpaceDN/>
              <w:bidi w:val="0"/>
              <w:spacing w:line="320" w:lineRule="exact"/>
              <w:ind w:left="0" w:leftChars="0" w:right="0" w:rightChars="0"/>
              <w:jc w:val="left"/>
              <w:rPr>
                <w:rFonts w:ascii="Times New Roman" w:hAnsi="Times New Roman" w:cs="Times New Roman" w:eastAsiaTheme="majorEastAsia"/>
                <w:b/>
                <w:sz w:val="21"/>
                <w:szCs w:val="21"/>
              </w:rPr>
            </w:pPr>
            <w:r>
              <w:rPr>
                <w:rFonts w:ascii="Times New Roman" w:hAnsi="Times New Roman" w:cs="Times New Roman" w:eastAsiaTheme="majorEastAsia"/>
                <w:kern w:val="0"/>
                <w:sz w:val="21"/>
                <w:szCs w:val="21"/>
              </w:rPr>
              <w:t>Identification and characterization of a  new species of Taxus — Taxus qinlingensis by multiple taxonomic methods</w:t>
            </w:r>
          </w:p>
        </w:tc>
        <w:tc>
          <w:tcPr>
            <w:tcW w:w="979" w:type="pct"/>
            <w:vAlign w:val="center"/>
          </w:tcPr>
          <w:p w14:paraId="31633A00">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eastAsia="宋体" w:cs="Times New Roman"/>
                <w:color w:val="000000"/>
                <w:kern w:val="0"/>
                <w:sz w:val="21"/>
                <w:szCs w:val="21"/>
                <w:lang w:bidi="ar"/>
              </w:rPr>
              <w:t>武星彤（第一作者），文亚峰（通讯作者）</w:t>
            </w:r>
          </w:p>
        </w:tc>
        <w:tc>
          <w:tcPr>
            <w:tcW w:w="894" w:type="pct"/>
            <w:vAlign w:val="center"/>
          </w:tcPr>
          <w:p w14:paraId="46B4EE16">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kern w:val="0"/>
                <w:sz w:val="21"/>
                <w:szCs w:val="21"/>
              </w:rPr>
              <w:t>BMC plant biology</w:t>
            </w:r>
          </w:p>
        </w:tc>
        <w:tc>
          <w:tcPr>
            <w:tcW w:w="525" w:type="pct"/>
            <w:vAlign w:val="center"/>
          </w:tcPr>
          <w:p w14:paraId="261EA4E6">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eastAsia="宋体" w:cs="Times New Roman"/>
                <w:color w:val="000000"/>
                <w:kern w:val="0"/>
                <w:sz w:val="21"/>
                <w:szCs w:val="21"/>
                <w:lang w:bidi="ar"/>
              </w:rPr>
              <w:t>202407</w:t>
            </w:r>
          </w:p>
        </w:tc>
      </w:tr>
      <w:tr w14:paraId="70A20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308" w:type="pct"/>
            <w:vAlign w:val="center"/>
          </w:tcPr>
          <w:p w14:paraId="16278AE2">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4</w:t>
            </w:r>
          </w:p>
        </w:tc>
        <w:tc>
          <w:tcPr>
            <w:tcW w:w="2291" w:type="pct"/>
            <w:vAlign w:val="bottom"/>
          </w:tcPr>
          <w:p w14:paraId="0607CF9B">
            <w:pPr>
              <w:keepNext w:val="0"/>
              <w:keepLines w:val="0"/>
              <w:pageBreakBefore w:val="0"/>
              <w:widowControl w:val="0"/>
              <w:kinsoku/>
              <w:wordWrap/>
              <w:overflowPunct w:val="0"/>
              <w:topLinePunct w:val="0"/>
              <w:autoSpaceDE/>
              <w:autoSpaceDN/>
              <w:bidi w:val="0"/>
              <w:spacing w:line="320" w:lineRule="exact"/>
              <w:ind w:left="0" w:leftChars="0" w:right="0" w:rightChars="0"/>
              <w:jc w:val="left"/>
              <w:rPr>
                <w:rFonts w:ascii="Times New Roman" w:hAnsi="Times New Roman" w:cs="Times New Roman" w:eastAsiaTheme="majorEastAsia"/>
                <w:b/>
                <w:sz w:val="21"/>
                <w:szCs w:val="21"/>
              </w:rPr>
            </w:pPr>
            <w:bookmarkStart w:id="11" w:name="OLE_LINK1"/>
            <w:r>
              <w:rPr>
                <w:rFonts w:ascii="Times New Roman" w:hAnsi="Times New Roman" w:cs="Times New Roman" w:eastAsiaTheme="majorEastAsia"/>
                <w:kern w:val="0"/>
                <w:sz w:val="21"/>
                <w:szCs w:val="21"/>
              </w:rPr>
              <w:t>Insights into the risk of COVID-19 infection in urban neighborhood and its environmental influence factors:A novel approach</w:t>
            </w:r>
            <w:bookmarkEnd w:id="11"/>
          </w:p>
        </w:tc>
        <w:tc>
          <w:tcPr>
            <w:tcW w:w="979" w:type="pct"/>
            <w:vAlign w:val="center"/>
          </w:tcPr>
          <w:p w14:paraId="74B41611">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eastAsia="宋体" w:cs="Times New Roman"/>
                <w:color w:val="000000"/>
                <w:kern w:val="0"/>
                <w:sz w:val="21"/>
                <w:szCs w:val="21"/>
                <w:lang w:bidi="ar"/>
              </w:rPr>
              <w:t>陈家骜（第一作者、通讯作者）</w:t>
            </w:r>
          </w:p>
        </w:tc>
        <w:tc>
          <w:tcPr>
            <w:tcW w:w="894" w:type="pct"/>
            <w:vAlign w:val="center"/>
          </w:tcPr>
          <w:p w14:paraId="3BBF8330">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kern w:val="0"/>
                <w:sz w:val="21"/>
                <w:szCs w:val="21"/>
              </w:rPr>
              <w:t>Sustainable Cities and Society</w:t>
            </w:r>
          </w:p>
        </w:tc>
        <w:tc>
          <w:tcPr>
            <w:tcW w:w="525" w:type="pct"/>
            <w:vAlign w:val="center"/>
          </w:tcPr>
          <w:p w14:paraId="3D188967">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eastAsia="宋体" w:cs="Times New Roman"/>
                <w:color w:val="000000"/>
                <w:kern w:val="0"/>
                <w:sz w:val="21"/>
                <w:szCs w:val="21"/>
                <w:lang w:bidi="ar"/>
              </w:rPr>
              <w:t>202407</w:t>
            </w:r>
          </w:p>
        </w:tc>
      </w:tr>
      <w:tr w14:paraId="747FC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jc w:val="center"/>
        </w:trPr>
        <w:tc>
          <w:tcPr>
            <w:tcW w:w="308" w:type="pct"/>
            <w:vAlign w:val="center"/>
          </w:tcPr>
          <w:p w14:paraId="5CDA596B">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5</w:t>
            </w:r>
          </w:p>
        </w:tc>
        <w:tc>
          <w:tcPr>
            <w:tcW w:w="2291" w:type="pct"/>
            <w:vAlign w:val="bottom"/>
          </w:tcPr>
          <w:p w14:paraId="3FA557B4">
            <w:pPr>
              <w:keepNext w:val="0"/>
              <w:keepLines w:val="0"/>
              <w:pageBreakBefore w:val="0"/>
              <w:widowControl w:val="0"/>
              <w:kinsoku/>
              <w:wordWrap/>
              <w:overflowPunct w:val="0"/>
              <w:topLinePunct w:val="0"/>
              <w:autoSpaceDE/>
              <w:autoSpaceDN/>
              <w:bidi w:val="0"/>
              <w:spacing w:line="320" w:lineRule="exact"/>
              <w:ind w:left="0" w:leftChars="0" w:right="0" w:rightChars="0"/>
              <w:jc w:val="left"/>
              <w:rPr>
                <w:rFonts w:ascii="Times New Roman" w:hAnsi="Times New Roman" w:cs="Times New Roman" w:eastAsiaTheme="majorEastAsia"/>
                <w:kern w:val="0"/>
                <w:sz w:val="21"/>
                <w:szCs w:val="21"/>
              </w:rPr>
            </w:pPr>
            <w:r>
              <w:rPr>
                <w:rFonts w:ascii="Times New Roman" w:hAnsi="Times New Roman" w:cs="Times New Roman" w:eastAsiaTheme="majorEastAsia"/>
                <w:kern w:val="0"/>
                <w:sz w:val="21"/>
                <w:szCs w:val="21"/>
              </w:rPr>
              <w:t>Breaking the poverty trap in an ecologically fragile region through ecological engineering: A close-up look at long-term changes in ecosystem services</w:t>
            </w:r>
          </w:p>
        </w:tc>
        <w:tc>
          <w:tcPr>
            <w:tcW w:w="979" w:type="pct"/>
            <w:vAlign w:val="center"/>
          </w:tcPr>
          <w:p w14:paraId="45227B91">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韦宝婧（第一作者），刘曙光（通讯作者）</w:t>
            </w:r>
          </w:p>
        </w:tc>
        <w:tc>
          <w:tcPr>
            <w:tcW w:w="894" w:type="pct"/>
            <w:vAlign w:val="center"/>
          </w:tcPr>
          <w:p w14:paraId="56EB4816">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kern w:val="0"/>
                <w:sz w:val="21"/>
                <w:szCs w:val="21"/>
              </w:rPr>
            </w:pPr>
            <w:r>
              <w:rPr>
                <w:rFonts w:ascii="Times New Roman" w:hAnsi="Times New Roman" w:cs="Times New Roman" w:eastAsiaTheme="majorEastAsia"/>
                <w:kern w:val="0"/>
                <w:sz w:val="21"/>
                <w:szCs w:val="21"/>
              </w:rPr>
              <w:t>Journal of Environmental Management</w:t>
            </w:r>
          </w:p>
        </w:tc>
        <w:tc>
          <w:tcPr>
            <w:tcW w:w="525" w:type="pct"/>
            <w:vAlign w:val="center"/>
          </w:tcPr>
          <w:p w14:paraId="1B3948BD">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202404</w:t>
            </w:r>
          </w:p>
        </w:tc>
      </w:tr>
      <w:tr w14:paraId="0DD71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308" w:type="pct"/>
            <w:vAlign w:val="center"/>
          </w:tcPr>
          <w:p w14:paraId="5EE5018C">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6</w:t>
            </w:r>
          </w:p>
        </w:tc>
        <w:tc>
          <w:tcPr>
            <w:tcW w:w="2291" w:type="pct"/>
            <w:vAlign w:val="bottom"/>
          </w:tcPr>
          <w:p w14:paraId="12793CCA">
            <w:pPr>
              <w:keepNext w:val="0"/>
              <w:keepLines w:val="0"/>
              <w:pageBreakBefore w:val="0"/>
              <w:widowControl w:val="0"/>
              <w:kinsoku/>
              <w:wordWrap/>
              <w:overflowPunct w:val="0"/>
              <w:topLinePunct w:val="0"/>
              <w:autoSpaceDE/>
              <w:autoSpaceDN/>
              <w:bidi w:val="0"/>
              <w:spacing w:line="320" w:lineRule="exact"/>
              <w:ind w:left="0" w:leftChars="0" w:right="0" w:rightChars="0"/>
              <w:jc w:val="left"/>
              <w:rPr>
                <w:rFonts w:ascii="Times New Roman" w:hAnsi="Times New Roman" w:cs="Times New Roman" w:eastAsiaTheme="majorEastAsia"/>
                <w:kern w:val="0"/>
                <w:sz w:val="21"/>
                <w:szCs w:val="21"/>
              </w:rPr>
            </w:pPr>
            <w:r>
              <w:rPr>
                <w:rFonts w:ascii="Times New Roman" w:hAnsi="Times New Roman" w:cs="Times New Roman" w:eastAsiaTheme="majorEastAsia"/>
                <w:kern w:val="0"/>
                <w:sz w:val="21"/>
                <w:szCs w:val="21"/>
              </w:rPr>
              <w:t>Comparison of QRNN and QRF Models in Forest Biomass Estimation Based on the Screening of VIs Using an Equidistant Quantile Method</w:t>
            </w:r>
          </w:p>
        </w:tc>
        <w:tc>
          <w:tcPr>
            <w:tcW w:w="979" w:type="pct"/>
            <w:vAlign w:val="center"/>
          </w:tcPr>
          <w:p w14:paraId="501DDE8F">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胥晓（第一作者），沈守云（通讯作者）</w:t>
            </w:r>
          </w:p>
        </w:tc>
        <w:tc>
          <w:tcPr>
            <w:tcW w:w="894" w:type="pct"/>
            <w:vAlign w:val="center"/>
          </w:tcPr>
          <w:p w14:paraId="24EFF13D">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kern w:val="0"/>
                <w:sz w:val="21"/>
                <w:szCs w:val="21"/>
              </w:rPr>
            </w:pPr>
            <w:r>
              <w:rPr>
                <w:rFonts w:ascii="Times New Roman" w:hAnsi="Times New Roman" w:cs="Times New Roman" w:eastAsiaTheme="majorEastAsia"/>
                <w:kern w:val="0"/>
                <w:sz w:val="21"/>
                <w:szCs w:val="21"/>
              </w:rPr>
              <w:t>Forests</w:t>
            </w:r>
          </w:p>
        </w:tc>
        <w:tc>
          <w:tcPr>
            <w:tcW w:w="525" w:type="pct"/>
            <w:vAlign w:val="center"/>
          </w:tcPr>
          <w:p w14:paraId="24066A1C">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202405</w:t>
            </w:r>
          </w:p>
        </w:tc>
      </w:tr>
      <w:tr w14:paraId="1B0D0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308" w:type="pct"/>
            <w:vAlign w:val="center"/>
          </w:tcPr>
          <w:p w14:paraId="741E8966">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7</w:t>
            </w:r>
          </w:p>
        </w:tc>
        <w:tc>
          <w:tcPr>
            <w:tcW w:w="2291" w:type="pct"/>
            <w:vAlign w:val="center"/>
          </w:tcPr>
          <w:p w14:paraId="528A00FE">
            <w:pPr>
              <w:keepNext w:val="0"/>
              <w:keepLines w:val="0"/>
              <w:pageBreakBefore w:val="0"/>
              <w:widowControl w:val="0"/>
              <w:kinsoku/>
              <w:wordWrap/>
              <w:overflowPunct w:val="0"/>
              <w:topLinePunct w:val="0"/>
              <w:autoSpaceDE/>
              <w:autoSpaceDN/>
              <w:bidi w:val="0"/>
              <w:spacing w:line="320" w:lineRule="exact"/>
              <w:ind w:left="0" w:leftChars="0" w:right="0" w:rightChars="0"/>
              <w:jc w:val="left"/>
              <w:rPr>
                <w:rFonts w:ascii="Times New Roman" w:hAnsi="Times New Roman" w:cs="Times New Roman" w:eastAsiaTheme="majorEastAsia"/>
                <w:kern w:val="0"/>
                <w:sz w:val="21"/>
                <w:szCs w:val="21"/>
              </w:rPr>
            </w:pPr>
            <w:r>
              <w:rPr>
                <w:rFonts w:ascii="Times New Roman" w:hAnsi="Times New Roman" w:cs="Times New Roman" w:eastAsiaTheme="majorEastAsia"/>
                <w:kern w:val="0"/>
                <w:sz w:val="21"/>
                <w:szCs w:val="21"/>
              </w:rPr>
              <w:t>Mapping urban green equity and analysing its impacted mechanisms: A novel approach</w:t>
            </w:r>
          </w:p>
        </w:tc>
        <w:tc>
          <w:tcPr>
            <w:tcW w:w="979" w:type="pct"/>
            <w:vAlign w:val="center"/>
          </w:tcPr>
          <w:p w14:paraId="135502B1">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曹宇弛（第一作者），廖秋林（通讯作者）</w:t>
            </w:r>
          </w:p>
        </w:tc>
        <w:tc>
          <w:tcPr>
            <w:tcW w:w="894" w:type="pct"/>
            <w:vAlign w:val="center"/>
          </w:tcPr>
          <w:p w14:paraId="3F5501CA">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kern w:val="0"/>
                <w:sz w:val="21"/>
                <w:szCs w:val="21"/>
              </w:rPr>
            </w:pPr>
            <w:r>
              <w:rPr>
                <w:rFonts w:ascii="Times New Roman" w:hAnsi="Times New Roman" w:cs="Times New Roman" w:eastAsiaTheme="majorEastAsia"/>
                <w:kern w:val="0"/>
                <w:sz w:val="21"/>
                <w:szCs w:val="21"/>
              </w:rPr>
              <w:t>Sustainable Cities and Society</w:t>
            </w:r>
          </w:p>
        </w:tc>
        <w:tc>
          <w:tcPr>
            <w:tcW w:w="525" w:type="pct"/>
            <w:vAlign w:val="center"/>
          </w:tcPr>
          <w:p w14:paraId="3B3272C8">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202402</w:t>
            </w:r>
          </w:p>
        </w:tc>
      </w:tr>
      <w:tr w14:paraId="2DA29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308" w:type="pct"/>
            <w:vAlign w:val="center"/>
          </w:tcPr>
          <w:p w14:paraId="7B5822A5">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8</w:t>
            </w:r>
          </w:p>
        </w:tc>
        <w:tc>
          <w:tcPr>
            <w:tcW w:w="2291" w:type="pct"/>
            <w:vAlign w:val="center"/>
          </w:tcPr>
          <w:p w14:paraId="71125446">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Transcriptome analysis of tree peony under high temperature treatment and functional verification of PsDREB2A gene</w:t>
            </w:r>
          </w:p>
        </w:tc>
        <w:tc>
          <w:tcPr>
            <w:tcW w:w="979" w:type="pct"/>
            <w:vAlign w:val="center"/>
          </w:tcPr>
          <w:p w14:paraId="2C1CF42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eastAsia="宋体" w:cs="Times New Roman"/>
                <w:color w:val="000000"/>
                <w:kern w:val="0"/>
                <w:sz w:val="21"/>
                <w:szCs w:val="21"/>
                <w:lang w:bidi="ar"/>
              </w:rPr>
              <w:t>卜文轩（第一作者），张旻桓（通讯作者）</w:t>
            </w:r>
          </w:p>
        </w:tc>
        <w:tc>
          <w:tcPr>
            <w:tcW w:w="894" w:type="pct"/>
            <w:vAlign w:val="center"/>
          </w:tcPr>
          <w:p w14:paraId="1C10F353">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Plant Physiology and Biochemistry</w:t>
            </w:r>
          </w:p>
        </w:tc>
        <w:tc>
          <w:tcPr>
            <w:tcW w:w="525" w:type="pct"/>
            <w:vAlign w:val="center"/>
          </w:tcPr>
          <w:p w14:paraId="4AAA4159">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202412</w:t>
            </w:r>
          </w:p>
        </w:tc>
      </w:tr>
      <w:tr w14:paraId="58CEE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jc w:val="center"/>
        </w:trPr>
        <w:tc>
          <w:tcPr>
            <w:tcW w:w="308" w:type="pct"/>
            <w:vAlign w:val="center"/>
          </w:tcPr>
          <w:p w14:paraId="0EED68E7">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9</w:t>
            </w:r>
          </w:p>
        </w:tc>
        <w:tc>
          <w:tcPr>
            <w:tcW w:w="2291" w:type="pct"/>
            <w:vAlign w:val="bottom"/>
          </w:tcPr>
          <w:p w14:paraId="07413BC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Effects of ploidy level on leaf morphology,  stomata, and anatomical structure of Hibiscus  syriacus L.</w:t>
            </w:r>
          </w:p>
        </w:tc>
        <w:tc>
          <w:tcPr>
            <w:tcW w:w="979" w:type="pct"/>
            <w:vAlign w:val="center"/>
          </w:tcPr>
          <w:p w14:paraId="1B26B87D">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eastAsia="宋体" w:cs="Times New Roman"/>
                <w:color w:val="000000"/>
                <w:kern w:val="0"/>
                <w:sz w:val="21"/>
                <w:szCs w:val="21"/>
                <w:lang w:bidi="ar"/>
              </w:rPr>
              <w:t>王晓红（第一作者），王晓红（通讯作者）</w:t>
            </w:r>
          </w:p>
        </w:tc>
        <w:tc>
          <w:tcPr>
            <w:tcW w:w="894" w:type="pct"/>
            <w:vAlign w:val="center"/>
          </w:tcPr>
          <w:p w14:paraId="0AE1325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BMC Plant Biology</w:t>
            </w:r>
          </w:p>
        </w:tc>
        <w:tc>
          <w:tcPr>
            <w:tcW w:w="525" w:type="pct"/>
            <w:vAlign w:val="center"/>
          </w:tcPr>
          <w:p w14:paraId="72552AC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eastAsia="宋体" w:cs="Times New Roman"/>
                <w:color w:val="000000"/>
                <w:kern w:val="0"/>
                <w:sz w:val="21"/>
                <w:szCs w:val="21"/>
                <w:lang w:bidi="ar"/>
              </w:rPr>
              <w:t>202411</w:t>
            </w:r>
          </w:p>
        </w:tc>
      </w:tr>
      <w:tr w14:paraId="39604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8" w:type="pct"/>
            <w:vAlign w:val="center"/>
          </w:tcPr>
          <w:p w14:paraId="06E08E86">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10</w:t>
            </w:r>
          </w:p>
        </w:tc>
        <w:tc>
          <w:tcPr>
            <w:tcW w:w="2291" w:type="pct"/>
            <w:vAlign w:val="center"/>
          </w:tcPr>
          <w:p w14:paraId="6FC869D7">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kern w:val="0"/>
                <w:sz w:val="21"/>
                <w:szCs w:val="21"/>
              </w:rPr>
            </w:pPr>
            <w:r>
              <w:rPr>
                <w:rFonts w:ascii="Times New Roman" w:hAnsi="Times New Roman" w:cs="Times New Roman" w:eastAsiaTheme="majorEastAsia"/>
                <w:kern w:val="0"/>
                <w:sz w:val="21"/>
                <w:szCs w:val="21"/>
              </w:rPr>
              <w:t>长株潭城市群绿心地区潜在自然通风廊道识别</w:t>
            </w:r>
          </w:p>
        </w:tc>
        <w:tc>
          <w:tcPr>
            <w:tcW w:w="979" w:type="pct"/>
            <w:vAlign w:val="center"/>
          </w:tcPr>
          <w:p w14:paraId="76916206">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刘雅（第一作者），王薇薇（通讯作者）</w:t>
            </w:r>
          </w:p>
        </w:tc>
        <w:tc>
          <w:tcPr>
            <w:tcW w:w="894" w:type="pct"/>
            <w:vAlign w:val="center"/>
          </w:tcPr>
          <w:p w14:paraId="426A8960">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kern w:val="0"/>
                <w:sz w:val="21"/>
                <w:szCs w:val="21"/>
              </w:rPr>
            </w:pPr>
            <w:r>
              <w:rPr>
                <w:rFonts w:ascii="Times New Roman" w:hAnsi="Times New Roman" w:cs="Times New Roman" w:eastAsiaTheme="majorEastAsia"/>
                <w:kern w:val="0"/>
                <w:sz w:val="21"/>
                <w:szCs w:val="21"/>
              </w:rPr>
              <w:t>中国园林</w:t>
            </w:r>
          </w:p>
        </w:tc>
        <w:tc>
          <w:tcPr>
            <w:tcW w:w="525" w:type="pct"/>
            <w:vAlign w:val="center"/>
          </w:tcPr>
          <w:p w14:paraId="0C24F1D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202405</w:t>
            </w:r>
          </w:p>
        </w:tc>
      </w:tr>
      <w:tr w14:paraId="35260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308" w:type="pct"/>
            <w:vAlign w:val="center"/>
          </w:tcPr>
          <w:p w14:paraId="3C3D4634">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11</w:t>
            </w:r>
          </w:p>
        </w:tc>
        <w:tc>
          <w:tcPr>
            <w:tcW w:w="2291" w:type="pct"/>
            <w:vAlign w:val="center"/>
          </w:tcPr>
          <w:p w14:paraId="471A03A3">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Mitochondrial genome study of Camellia oleifera revealed the tandem conserved gene cluster of nad5–nads in evolution</w:t>
            </w:r>
          </w:p>
        </w:tc>
        <w:tc>
          <w:tcPr>
            <w:tcW w:w="979" w:type="pct"/>
            <w:vAlign w:val="center"/>
          </w:tcPr>
          <w:p w14:paraId="1D9B1600">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eastAsia="宋体" w:cs="Times New Roman"/>
                <w:color w:val="000000"/>
                <w:kern w:val="0"/>
                <w:sz w:val="21"/>
                <w:szCs w:val="21"/>
                <w:lang w:bidi="ar"/>
              </w:rPr>
              <w:t>顾伊阳（第一作者），周俊琴（通讯作者）</w:t>
            </w:r>
          </w:p>
        </w:tc>
        <w:tc>
          <w:tcPr>
            <w:tcW w:w="894" w:type="pct"/>
            <w:vAlign w:val="center"/>
          </w:tcPr>
          <w:p w14:paraId="1C4DF62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Frontiers in Plant Science</w:t>
            </w:r>
          </w:p>
        </w:tc>
        <w:tc>
          <w:tcPr>
            <w:tcW w:w="525" w:type="pct"/>
            <w:vAlign w:val="center"/>
          </w:tcPr>
          <w:p w14:paraId="68D5329D">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eastAsia="宋体" w:cs="Times New Roman"/>
                <w:color w:val="000000"/>
                <w:kern w:val="0"/>
                <w:sz w:val="21"/>
                <w:szCs w:val="21"/>
                <w:lang w:bidi="ar"/>
              </w:rPr>
              <w:t>202409</w:t>
            </w:r>
          </w:p>
        </w:tc>
      </w:tr>
      <w:tr w14:paraId="36C80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308" w:type="pct"/>
            <w:vAlign w:val="center"/>
          </w:tcPr>
          <w:p w14:paraId="1F5C7F43">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12</w:t>
            </w:r>
          </w:p>
        </w:tc>
        <w:tc>
          <w:tcPr>
            <w:tcW w:w="2291" w:type="pct"/>
            <w:vAlign w:val="center"/>
          </w:tcPr>
          <w:p w14:paraId="471F6D92">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Research on the Spatial-Temporal Evolution of Changsha's Surface Urban Heat Island from the Perspective of Local Climate Zones</w:t>
            </w:r>
          </w:p>
        </w:tc>
        <w:tc>
          <w:tcPr>
            <w:tcW w:w="979" w:type="pct"/>
            <w:vAlign w:val="center"/>
          </w:tcPr>
          <w:p w14:paraId="7FBEEFB0">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color w:val="FF0000"/>
                <w:sz w:val="21"/>
                <w:szCs w:val="21"/>
              </w:rPr>
            </w:pPr>
            <w:r>
              <w:rPr>
                <w:rFonts w:ascii="Times New Roman" w:hAnsi="Times New Roman" w:eastAsia="宋体" w:cs="Times New Roman"/>
                <w:color w:val="000000"/>
                <w:kern w:val="0"/>
                <w:sz w:val="21"/>
                <w:szCs w:val="21"/>
                <w:lang w:bidi="ar"/>
              </w:rPr>
              <w:t>向艳芬（第一作者），郑舰（通讯作者）</w:t>
            </w:r>
          </w:p>
        </w:tc>
        <w:tc>
          <w:tcPr>
            <w:tcW w:w="894" w:type="pct"/>
            <w:vAlign w:val="center"/>
          </w:tcPr>
          <w:p w14:paraId="576E3CF7">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Land</w:t>
            </w:r>
          </w:p>
        </w:tc>
        <w:tc>
          <w:tcPr>
            <w:tcW w:w="525" w:type="pct"/>
            <w:vAlign w:val="center"/>
          </w:tcPr>
          <w:p w14:paraId="51C1B2E3">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eastAsia="宋体" w:cs="Times New Roman"/>
                <w:color w:val="000000"/>
                <w:kern w:val="0"/>
                <w:sz w:val="21"/>
                <w:szCs w:val="21"/>
                <w:lang w:bidi="ar"/>
              </w:rPr>
              <w:t>202409</w:t>
            </w:r>
          </w:p>
        </w:tc>
      </w:tr>
      <w:tr w14:paraId="1506E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308" w:type="pct"/>
            <w:vAlign w:val="center"/>
          </w:tcPr>
          <w:p w14:paraId="156DD50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13</w:t>
            </w:r>
          </w:p>
        </w:tc>
        <w:tc>
          <w:tcPr>
            <w:tcW w:w="2291" w:type="pct"/>
            <w:vAlign w:val="center"/>
          </w:tcPr>
          <w:p w14:paraId="3192987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kern w:val="0"/>
                <w:sz w:val="21"/>
                <w:szCs w:val="21"/>
              </w:rPr>
            </w:pPr>
            <w:r>
              <w:rPr>
                <w:rFonts w:ascii="Times New Roman" w:hAnsi="Times New Roman" w:cs="Times New Roman" w:eastAsiaTheme="majorEastAsia"/>
                <w:kern w:val="0"/>
                <w:sz w:val="21"/>
                <w:szCs w:val="21"/>
              </w:rPr>
              <w:t>Spatial distribution of toponyms and formation mechanism in traditional villages in Western Hunan, China</w:t>
            </w:r>
          </w:p>
        </w:tc>
        <w:tc>
          <w:tcPr>
            <w:tcW w:w="979" w:type="pct"/>
            <w:vAlign w:val="center"/>
          </w:tcPr>
          <w:p w14:paraId="5FEF8057">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刘雅靓（第一作者），邱慧（通讯作者）</w:t>
            </w:r>
          </w:p>
        </w:tc>
        <w:tc>
          <w:tcPr>
            <w:tcW w:w="894" w:type="pct"/>
            <w:vAlign w:val="center"/>
          </w:tcPr>
          <w:p w14:paraId="021B808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kern w:val="0"/>
                <w:sz w:val="21"/>
                <w:szCs w:val="21"/>
              </w:rPr>
            </w:pPr>
            <w:r>
              <w:rPr>
                <w:rFonts w:ascii="Times New Roman" w:hAnsi="Times New Roman" w:cs="Times New Roman" w:eastAsiaTheme="majorEastAsia"/>
                <w:kern w:val="0"/>
                <w:sz w:val="21"/>
                <w:szCs w:val="21"/>
              </w:rPr>
              <w:t>Heritage Science</w:t>
            </w:r>
          </w:p>
        </w:tc>
        <w:tc>
          <w:tcPr>
            <w:tcW w:w="525" w:type="pct"/>
            <w:vAlign w:val="center"/>
          </w:tcPr>
          <w:p w14:paraId="741E2BE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202405</w:t>
            </w:r>
          </w:p>
        </w:tc>
      </w:tr>
      <w:tr w14:paraId="04C54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8" w:type="pct"/>
            <w:vAlign w:val="center"/>
          </w:tcPr>
          <w:p w14:paraId="28995692">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14</w:t>
            </w:r>
          </w:p>
        </w:tc>
        <w:tc>
          <w:tcPr>
            <w:tcW w:w="2291" w:type="pct"/>
            <w:vAlign w:val="center"/>
          </w:tcPr>
          <w:p w14:paraId="1D9AD78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kern w:val="0"/>
                <w:sz w:val="21"/>
                <w:szCs w:val="21"/>
              </w:rPr>
            </w:pPr>
            <w:r>
              <w:rPr>
                <w:rFonts w:ascii="Times New Roman" w:hAnsi="Times New Roman" w:cs="Times New Roman" w:eastAsiaTheme="majorEastAsia"/>
                <w:kern w:val="0"/>
                <w:sz w:val="21"/>
                <w:szCs w:val="21"/>
              </w:rPr>
              <w:t>梅山地区文化遗产分布时空特征及其与自然环境的关系</w:t>
            </w:r>
          </w:p>
        </w:tc>
        <w:tc>
          <w:tcPr>
            <w:tcW w:w="979" w:type="pct"/>
            <w:vAlign w:val="center"/>
          </w:tcPr>
          <w:p w14:paraId="584B7AF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黄雪嘉（第一作者），沈守云（通讯作者）</w:t>
            </w:r>
          </w:p>
        </w:tc>
        <w:tc>
          <w:tcPr>
            <w:tcW w:w="894" w:type="pct"/>
            <w:vAlign w:val="center"/>
          </w:tcPr>
          <w:p w14:paraId="62B90130">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kern w:val="0"/>
                <w:sz w:val="21"/>
                <w:szCs w:val="21"/>
              </w:rPr>
            </w:pPr>
            <w:r>
              <w:rPr>
                <w:rFonts w:ascii="Times New Roman" w:hAnsi="Times New Roman" w:cs="Times New Roman" w:eastAsiaTheme="majorEastAsia"/>
                <w:kern w:val="0"/>
                <w:sz w:val="21"/>
                <w:szCs w:val="21"/>
              </w:rPr>
              <w:t>经济地理</w:t>
            </w:r>
          </w:p>
        </w:tc>
        <w:tc>
          <w:tcPr>
            <w:tcW w:w="525" w:type="pct"/>
            <w:vAlign w:val="center"/>
          </w:tcPr>
          <w:p w14:paraId="6E6F75C3">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202403</w:t>
            </w:r>
          </w:p>
        </w:tc>
      </w:tr>
      <w:tr w14:paraId="57F87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8" w:type="pct"/>
            <w:vAlign w:val="center"/>
          </w:tcPr>
          <w:p w14:paraId="6DA7F1C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15</w:t>
            </w:r>
          </w:p>
        </w:tc>
        <w:tc>
          <w:tcPr>
            <w:tcW w:w="2291" w:type="pct"/>
            <w:vAlign w:val="center"/>
          </w:tcPr>
          <w:p w14:paraId="014B9DD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McWRKY43 Confers Cold Stress Tolerance in Michelia crassipes via Regulation of Flavonoid Biosynthesis</w:t>
            </w:r>
          </w:p>
        </w:tc>
        <w:tc>
          <w:tcPr>
            <w:tcW w:w="979" w:type="pct"/>
            <w:vAlign w:val="center"/>
          </w:tcPr>
          <w:p w14:paraId="60205C8E">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eastAsia="宋体" w:cs="Times New Roman"/>
                <w:color w:val="000000"/>
                <w:kern w:val="0"/>
                <w:sz w:val="21"/>
                <w:szCs w:val="21"/>
                <w:lang w:bidi="ar"/>
              </w:rPr>
              <w:t>余秋岫（第一作者），李启珍（通讯作者）</w:t>
            </w:r>
          </w:p>
        </w:tc>
        <w:tc>
          <w:tcPr>
            <w:tcW w:w="894" w:type="pct"/>
            <w:vAlign w:val="center"/>
          </w:tcPr>
          <w:p w14:paraId="270D6C6B">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International Journal o f Molecular Sciences</w:t>
            </w:r>
          </w:p>
        </w:tc>
        <w:tc>
          <w:tcPr>
            <w:tcW w:w="525" w:type="pct"/>
            <w:vAlign w:val="center"/>
          </w:tcPr>
          <w:p w14:paraId="5763E20D">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eastAsia="宋体" w:cs="Times New Roman"/>
                <w:color w:val="000000"/>
                <w:kern w:val="0"/>
                <w:sz w:val="21"/>
                <w:szCs w:val="21"/>
                <w:lang w:bidi="ar"/>
              </w:rPr>
              <w:t>202409</w:t>
            </w:r>
          </w:p>
        </w:tc>
      </w:tr>
      <w:tr w14:paraId="3C9C9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jc w:val="center"/>
        </w:trPr>
        <w:tc>
          <w:tcPr>
            <w:tcW w:w="308" w:type="pct"/>
            <w:vAlign w:val="center"/>
          </w:tcPr>
          <w:p w14:paraId="150B0A84">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16</w:t>
            </w:r>
          </w:p>
        </w:tc>
        <w:tc>
          <w:tcPr>
            <w:tcW w:w="2291" w:type="pct"/>
            <w:vAlign w:val="center"/>
          </w:tcPr>
          <w:p w14:paraId="639F2C1D">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kern w:val="0"/>
                <w:sz w:val="21"/>
                <w:szCs w:val="21"/>
              </w:rPr>
            </w:pPr>
            <w:r>
              <w:rPr>
                <w:rFonts w:ascii="Times New Roman" w:hAnsi="Times New Roman" w:cs="Times New Roman" w:eastAsiaTheme="majorEastAsia"/>
                <w:kern w:val="0"/>
                <w:sz w:val="21"/>
                <w:szCs w:val="21"/>
              </w:rPr>
              <w:t>Gap analysis of Firmiana danxiaensis, a rare tree species endemic to southern China</w:t>
            </w:r>
          </w:p>
        </w:tc>
        <w:tc>
          <w:tcPr>
            <w:tcW w:w="979" w:type="pct"/>
            <w:vAlign w:val="center"/>
          </w:tcPr>
          <w:p w14:paraId="6C6C3D4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李芮芝（第一作者），胡希军（通讯作者）</w:t>
            </w:r>
          </w:p>
        </w:tc>
        <w:tc>
          <w:tcPr>
            <w:tcW w:w="894" w:type="pct"/>
            <w:vAlign w:val="center"/>
          </w:tcPr>
          <w:p w14:paraId="0F77F0D0">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kern w:val="0"/>
                <w:sz w:val="21"/>
                <w:szCs w:val="21"/>
              </w:rPr>
            </w:pPr>
            <w:r>
              <w:rPr>
                <w:rFonts w:ascii="Times New Roman" w:hAnsi="Times New Roman" w:cs="Times New Roman" w:eastAsiaTheme="majorEastAsia"/>
                <w:kern w:val="0"/>
                <w:sz w:val="21"/>
                <w:szCs w:val="21"/>
              </w:rPr>
              <w:t>Ecological Indicators</w:t>
            </w:r>
          </w:p>
        </w:tc>
        <w:tc>
          <w:tcPr>
            <w:tcW w:w="525" w:type="pct"/>
            <w:vAlign w:val="center"/>
          </w:tcPr>
          <w:p w14:paraId="075E2692">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202401</w:t>
            </w:r>
          </w:p>
        </w:tc>
      </w:tr>
      <w:tr w14:paraId="38F7D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308" w:type="pct"/>
            <w:vAlign w:val="center"/>
          </w:tcPr>
          <w:p w14:paraId="28B924C0">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17</w:t>
            </w:r>
          </w:p>
        </w:tc>
        <w:tc>
          <w:tcPr>
            <w:tcW w:w="2291" w:type="pct"/>
            <w:vAlign w:val="center"/>
          </w:tcPr>
          <w:p w14:paraId="70D521D0">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Geographic distribution and impacts of climate change on the suitable habitats of two alpine Rhododendron in Southwest China</w:t>
            </w:r>
          </w:p>
        </w:tc>
        <w:tc>
          <w:tcPr>
            <w:tcW w:w="979" w:type="pct"/>
            <w:vAlign w:val="center"/>
          </w:tcPr>
          <w:p w14:paraId="5E941DB3">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eastAsia="宋体" w:cs="Times New Roman"/>
                <w:color w:val="000000"/>
                <w:kern w:val="0"/>
                <w:sz w:val="21"/>
                <w:szCs w:val="21"/>
                <w:lang w:bidi="ar"/>
              </w:rPr>
              <w:t>赵扬辉（第一作者），文亚峰（通讯作者）</w:t>
            </w:r>
          </w:p>
        </w:tc>
        <w:tc>
          <w:tcPr>
            <w:tcW w:w="894" w:type="pct"/>
            <w:vAlign w:val="center"/>
          </w:tcPr>
          <w:p w14:paraId="2168BC8C">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Global Ecology and Conservation</w:t>
            </w:r>
          </w:p>
        </w:tc>
        <w:tc>
          <w:tcPr>
            <w:tcW w:w="525" w:type="pct"/>
            <w:vAlign w:val="center"/>
          </w:tcPr>
          <w:p w14:paraId="0052EBE9">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eastAsia="宋体" w:cs="Times New Roman"/>
                <w:color w:val="000000"/>
                <w:kern w:val="0"/>
                <w:sz w:val="21"/>
                <w:szCs w:val="21"/>
                <w:lang w:bidi="ar"/>
              </w:rPr>
              <w:t>202409</w:t>
            </w:r>
          </w:p>
        </w:tc>
      </w:tr>
      <w:tr w14:paraId="51D02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308" w:type="pct"/>
            <w:vAlign w:val="center"/>
          </w:tcPr>
          <w:p w14:paraId="2305E54C">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18</w:t>
            </w:r>
          </w:p>
        </w:tc>
        <w:tc>
          <w:tcPr>
            <w:tcW w:w="2291" w:type="pct"/>
            <w:vAlign w:val="center"/>
          </w:tcPr>
          <w:p w14:paraId="07F115A3">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紫花含笑花发育过程中生理和内源激素的变化</w:t>
            </w:r>
          </w:p>
        </w:tc>
        <w:tc>
          <w:tcPr>
            <w:tcW w:w="979" w:type="pct"/>
            <w:vAlign w:val="center"/>
          </w:tcPr>
          <w:p w14:paraId="54500B2E">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eastAsia="宋体" w:cs="Times New Roman"/>
                <w:color w:val="000000"/>
                <w:kern w:val="0"/>
                <w:sz w:val="21"/>
                <w:szCs w:val="21"/>
                <w:lang w:bidi="ar"/>
              </w:rPr>
              <w:t>郭群艳（第一作者），刘彩贤（通讯作者）</w:t>
            </w:r>
          </w:p>
        </w:tc>
        <w:tc>
          <w:tcPr>
            <w:tcW w:w="894" w:type="pct"/>
            <w:vAlign w:val="center"/>
          </w:tcPr>
          <w:p w14:paraId="05F4DB22">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园艺学报</w:t>
            </w:r>
          </w:p>
        </w:tc>
        <w:tc>
          <w:tcPr>
            <w:tcW w:w="525" w:type="pct"/>
            <w:vAlign w:val="center"/>
          </w:tcPr>
          <w:p w14:paraId="75134049">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eastAsia="宋体" w:cs="Times New Roman"/>
                <w:color w:val="000000"/>
                <w:kern w:val="0"/>
                <w:sz w:val="21"/>
                <w:szCs w:val="21"/>
                <w:lang w:bidi="ar"/>
              </w:rPr>
              <w:t>202408</w:t>
            </w:r>
          </w:p>
        </w:tc>
      </w:tr>
      <w:tr w14:paraId="58D28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8" w:type="pct"/>
            <w:vAlign w:val="center"/>
          </w:tcPr>
          <w:p w14:paraId="62B8BF35">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19</w:t>
            </w:r>
          </w:p>
        </w:tc>
        <w:tc>
          <w:tcPr>
            <w:tcW w:w="2291" w:type="pct"/>
            <w:vAlign w:val="center"/>
          </w:tcPr>
          <w:p w14:paraId="0DB233F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The class B heat shock factor RcHsf17 from Rosa chinensis enhances basal thermotolerance in Rosa rugosa</w:t>
            </w:r>
          </w:p>
        </w:tc>
        <w:tc>
          <w:tcPr>
            <w:tcW w:w="979" w:type="pct"/>
            <w:vAlign w:val="center"/>
          </w:tcPr>
          <w:p w14:paraId="5B8AB22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eastAsia="宋体" w:cs="Times New Roman"/>
                <w:color w:val="000000"/>
                <w:kern w:val="0"/>
                <w:sz w:val="21"/>
                <w:szCs w:val="21"/>
                <w:lang w:bidi="ar"/>
              </w:rPr>
              <w:t>丁明海（第一作者），邢文（通讯作者）</w:t>
            </w:r>
          </w:p>
        </w:tc>
        <w:tc>
          <w:tcPr>
            <w:tcW w:w="894" w:type="pct"/>
            <w:vAlign w:val="center"/>
          </w:tcPr>
          <w:p w14:paraId="0297F55D">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Environmental and Experimental Botany</w:t>
            </w:r>
          </w:p>
        </w:tc>
        <w:tc>
          <w:tcPr>
            <w:tcW w:w="525" w:type="pct"/>
            <w:vAlign w:val="center"/>
          </w:tcPr>
          <w:p w14:paraId="5FB2209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eastAsia="宋体" w:cs="Times New Roman"/>
                <w:color w:val="000000"/>
                <w:kern w:val="0"/>
                <w:sz w:val="21"/>
                <w:szCs w:val="21"/>
                <w:lang w:bidi="ar"/>
              </w:rPr>
              <w:t>202406</w:t>
            </w:r>
          </w:p>
        </w:tc>
      </w:tr>
      <w:tr w14:paraId="6136F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8" w:type="pct"/>
            <w:vAlign w:val="center"/>
          </w:tcPr>
          <w:p w14:paraId="7C460756">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20</w:t>
            </w:r>
          </w:p>
        </w:tc>
        <w:tc>
          <w:tcPr>
            <w:tcW w:w="2291" w:type="pct"/>
            <w:vAlign w:val="center"/>
          </w:tcPr>
          <w:p w14:paraId="151C00C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Metabolome and transcriptome integration reveals insights into petals coloration mechanism of three species in Sect. Chrysantha chang</w:t>
            </w:r>
          </w:p>
        </w:tc>
        <w:tc>
          <w:tcPr>
            <w:tcW w:w="979" w:type="pct"/>
            <w:vAlign w:val="center"/>
          </w:tcPr>
          <w:p w14:paraId="1F188C8D">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eastAsia="宋体" w:cs="Times New Roman"/>
                <w:color w:val="000000"/>
                <w:kern w:val="0"/>
                <w:sz w:val="21"/>
                <w:szCs w:val="21"/>
                <w:lang w:bidi="ar"/>
              </w:rPr>
              <w:t>闫亚丹（第一作者），文亚峰（通讯作者）</w:t>
            </w:r>
          </w:p>
        </w:tc>
        <w:tc>
          <w:tcPr>
            <w:tcW w:w="894" w:type="pct"/>
            <w:vAlign w:val="center"/>
          </w:tcPr>
          <w:p w14:paraId="7E0275E2">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ascii="Times New Roman" w:hAnsi="Times New Roman" w:cs="Times New Roman" w:eastAsiaTheme="majorEastAsia"/>
                <w:sz w:val="21"/>
                <w:szCs w:val="21"/>
              </w:rPr>
            </w:pPr>
            <w:r>
              <w:rPr>
                <w:rFonts w:ascii="Times New Roman" w:hAnsi="Times New Roman" w:cs="Times New Roman" w:eastAsiaTheme="majorEastAsia"/>
                <w:kern w:val="0"/>
                <w:sz w:val="21"/>
                <w:szCs w:val="21"/>
              </w:rPr>
              <w:t>Peer J</w:t>
            </w:r>
          </w:p>
        </w:tc>
        <w:tc>
          <w:tcPr>
            <w:tcW w:w="525" w:type="pct"/>
            <w:vAlign w:val="center"/>
          </w:tcPr>
          <w:p w14:paraId="6AF07721">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ascii="Times New Roman" w:hAnsi="Times New Roman" w:cs="Times New Roman" w:eastAsiaTheme="majorEastAsia"/>
                <w:sz w:val="21"/>
                <w:szCs w:val="21"/>
              </w:rPr>
            </w:pPr>
            <w:r>
              <w:rPr>
                <w:rFonts w:ascii="Times New Roman" w:hAnsi="Times New Roman" w:eastAsia="宋体" w:cs="Times New Roman"/>
                <w:color w:val="000000"/>
                <w:kern w:val="0"/>
                <w:sz w:val="21"/>
                <w:szCs w:val="21"/>
                <w:lang w:bidi="ar"/>
              </w:rPr>
              <w:t>202404</w:t>
            </w:r>
          </w:p>
        </w:tc>
      </w:tr>
    </w:tbl>
    <w:p w14:paraId="5323F0D8">
      <w:pPr>
        <w:keepNext w:val="0"/>
        <w:keepLines w:val="0"/>
        <w:pageBreakBefore w:val="0"/>
        <w:widowControl w:val="0"/>
        <w:kinsoku/>
        <w:wordWrap/>
        <w:overflowPunct w:val="0"/>
        <w:topLinePunct w:val="0"/>
        <w:autoSpaceDE/>
        <w:autoSpaceDN/>
        <w:bidi w:val="0"/>
        <w:adjustRightInd w:val="0"/>
        <w:snapToGrid w:val="0"/>
        <w:spacing w:before="132" w:beforeLines="30" w:line="360" w:lineRule="auto"/>
        <w:ind w:left="0" w:leftChars="0" w:right="0" w:rightChars="0" w:firstLine="480" w:firstLineChars="200"/>
        <w:jc w:val="left"/>
        <w:textAlignment w:val="auto"/>
        <w:outlineLvl w:val="2"/>
        <w:rPr>
          <w:rStyle w:val="27"/>
          <w:rFonts w:hint="default" w:ascii="Times New Roman" w:hAnsi="Times New Roman" w:eastAsia="黑体" w:cs="Times New Roman"/>
          <w:b w:val="0"/>
          <w:bCs/>
          <w:sz w:val="24"/>
          <w:szCs w:val="24"/>
          <w:lang w:val="en-US" w:eastAsia="zh-CN"/>
        </w:rPr>
      </w:pPr>
      <w:r>
        <w:rPr>
          <w:rStyle w:val="27"/>
          <w:rFonts w:hint="default" w:ascii="Times New Roman" w:hAnsi="Times New Roman" w:eastAsia="黑体" w:cs="Times New Roman"/>
          <w:b w:val="0"/>
          <w:bCs/>
          <w:sz w:val="24"/>
          <w:szCs w:val="24"/>
          <w:lang w:val="en-US" w:eastAsia="zh-CN"/>
        </w:rPr>
        <w:t>2.专利、标准情况</w:t>
      </w:r>
    </w:p>
    <w:p w14:paraId="21B177A6">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2024年获批专利5项，其中发明专利4项；发布行业标准1项。</w:t>
      </w:r>
    </w:p>
    <w:p w14:paraId="0E158548">
      <w:pPr>
        <w:keepNext w:val="0"/>
        <w:keepLines w:val="0"/>
        <w:pageBreakBefore w:val="0"/>
        <w:widowControl w:val="0"/>
        <w:kinsoku/>
        <w:wordWrap/>
        <w:overflowPunct w:val="0"/>
        <w:topLinePunct w:val="0"/>
        <w:autoSpaceDE/>
        <w:autoSpaceDN/>
        <w:bidi w:val="0"/>
        <w:adjustRightInd w:val="0"/>
        <w:ind w:left="0" w:leftChars="0" w:right="0" w:rightChars="0"/>
        <w:jc w:val="center"/>
        <w:rPr>
          <w:rFonts w:hint="default" w:ascii="Times New Roman" w:hAnsi="Times New Roman" w:cs="Times New Roman" w:eastAsiaTheme="majorEastAsia"/>
          <w:b/>
          <w:color w:val="00B0F0"/>
          <w:sz w:val="21"/>
          <w:szCs w:val="21"/>
        </w:rPr>
      </w:pPr>
      <w:r>
        <w:rPr>
          <w:rFonts w:hint="default" w:ascii="Times New Roman" w:hAnsi="Times New Roman" w:eastAsia="宋体" w:cs="Times New Roman"/>
          <w:b/>
          <w:color w:val="000000"/>
          <w:sz w:val="21"/>
          <w:szCs w:val="21"/>
        </w:rPr>
        <w:t xml:space="preserve">表9  专利情况 </w:t>
      </w:r>
      <w:r>
        <w:rPr>
          <w:rFonts w:hint="default" w:ascii="Times New Roman" w:hAnsi="Times New Roman" w:cs="Times New Roman" w:eastAsiaTheme="majorEastAsia"/>
          <w:b/>
          <w:color w:val="000000"/>
          <w:sz w:val="21"/>
          <w:szCs w:val="21"/>
        </w:rPr>
        <w:t xml:space="preserve"> </w:t>
      </w:r>
    </w:p>
    <w:tbl>
      <w:tblPr>
        <w:tblStyle w:val="12"/>
        <w:tblW w:w="4997"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7"/>
        <w:gridCol w:w="2321"/>
        <w:gridCol w:w="1891"/>
        <w:gridCol w:w="1145"/>
        <w:gridCol w:w="2005"/>
        <w:gridCol w:w="847"/>
      </w:tblGrid>
      <w:tr w14:paraId="0DDA7D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14:paraId="431C43B7">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序号</w:t>
            </w:r>
          </w:p>
        </w:tc>
        <w:tc>
          <w:tcPr>
            <w:tcW w:w="1362" w:type="pct"/>
            <w:vAlign w:val="center"/>
          </w:tcPr>
          <w:p w14:paraId="40DC9AC6">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专利名称</w:t>
            </w:r>
          </w:p>
        </w:tc>
        <w:tc>
          <w:tcPr>
            <w:tcW w:w="1048" w:type="pct"/>
            <w:vAlign w:val="center"/>
          </w:tcPr>
          <w:p w14:paraId="2EAB424F">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专利号</w:t>
            </w:r>
          </w:p>
        </w:tc>
        <w:tc>
          <w:tcPr>
            <w:tcW w:w="679" w:type="pct"/>
            <w:vAlign w:val="center"/>
          </w:tcPr>
          <w:p w14:paraId="3E7093F6">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专利权人</w:t>
            </w:r>
          </w:p>
        </w:tc>
        <w:tc>
          <w:tcPr>
            <w:tcW w:w="1176" w:type="pct"/>
            <w:vAlign w:val="center"/>
          </w:tcPr>
          <w:p w14:paraId="20387E5A">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发明人</w:t>
            </w:r>
          </w:p>
        </w:tc>
        <w:tc>
          <w:tcPr>
            <w:tcW w:w="472" w:type="pct"/>
            <w:vAlign w:val="center"/>
          </w:tcPr>
          <w:p w14:paraId="0AB3552B">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授权</w:t>
            </w:r>
          </w:p>
          <w:p w14:paraId="7A66EE54">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公告日</w:t>
            </w:r>
          </w:p>
        </w:tc>
      </w:tr>
      <w:tr w14:paraId="11F6E2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14:paraId="28250ACE">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1</w:t>
            </w:r>
          </w:p>
        </w:tc>
        <w:tc>
          <w:tcPr>
            <w:tcW w:w="1362" w:type="pct"/>
            <w:vAlign w:val="center"/>
          </w:tcPr>
          <w:p w14:paraId="28AD7A2C">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一种森林生态系统碳储功能评估方法</w:t>
            </w:r>
          </w:p>
        </w:tc>
        <w:tc>
          <w:tcPr>
            <w:tcW w:w="1048" w:type="pct"/>
            <w:vAlign w:val="center"/>
          </w:tcPr>
          <w:p w14:paraId="597F38A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ZL 2023 1 1743258.6</w:t>
            </w:r>
          </w:p>
        </w:tc>
        <w:tc>
          <w:tcPr>
            <w:tcW w:w="679" w:type="pct"/>
            <w:vAlign w:val="center"/>
          </w:tcPr>
          <w:p w14:paraId="366917B0">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中南林业科技大学</w:t>
            </w:r>
          </w:p>
        </w:tc>
        <w:tc>
          <w:tcPr>
            <w:tcW w:w="1176" w:type="pct"/>
            <w:vAlign w:val="center"/>
          </w:tcPr>
          <w:p w14:paraId="0116925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贾冠宇,姜朋辉,胡文敏,盛勇,符海月,苗双喜,李满春,许传建</w:t>
            </w:r>
          </w:p>
        </w:tc>
        <w:tc>
          <w:tcPr>
            <w:tcW w:w="472" w:type="pct"/>
            <w:vAlign w:val="center"/>
          </w:tcPr>
          <w:p w14:paraId="55CAA9F9">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202403</w:t>
            </w:r>
          </w:p>
        </w:tc>
      </w:tr>
      <w:tr w14:paraId="1A7CFE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14:paraId="2154593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2</w:t>
            </w:r>
          </w:p>
        </w:tc>
        <w:tc>
          <w:tcPr>
            <w:tcW w:w="1362" w:type="pct"/>
            <w:vAlign w:val="center"/>
          </w:tcPr>
          <w:p w14:paraId="34F2E1B1">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网约车订单处理方法及系统</w:t>
            </w:r>
          </w:p>
        </w:tc>
        <w:tc>
          <w:tcPr>
            <w:tcW w:w="1048" w:type="pct"/>
            <w:vAlign w:val="center"/>
          </w:tcPr>
          <w:p w14:paraId="7ABA5B6C">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202110666603.5</w:t>
            </w:r>
          </w:p>
        </w:tc>
        <w:tc>
          <w:tcPr>
            <w:tcW w:w="679" w:type="pct"/>
            <w:vAlign w:val="center"/>
          </w:tcPr>
          <w:p w14:paraId="2D98E510">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中南林业科技大学</w:t>
            </w:r>
          </w:p>
        </w:tc>
        <w:tc>
          <w:tcPr>
            <w:tcW w:w="1176" w:type="pct"/>
            <w:vAlign w:val="center"/>
          </w:tcPr>
          <w:p w14:paraId="3E0ECF5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薛行健</w:t>
            </w:r>
          </w:p>
        </w:tc>
        <w:tc>
          <w:tcPr>
            <w:tcW w:w="472" w:type="pct"/>
            <w:vAlign w:val="center"/>
          </w:tcPr>
          <w:p w14:paraId="75F3ECA7">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202404</w:t>
            </w:r>
          </w:p>
        </w:tc>
      </w:tr>
      <w:tr w14:paraId="41C753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14:paraId="6BE80A1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3</w:t>
            </w:r>
          </w:p>
        </w:tc>
        <w:tc>
          <w:tcPr>
            <w:tcW w:w="1362" w:type="pct"/>
            <w:vAlign w:val="center"/>
          </w:tcPr>
          <w:p w14:paraId="3FD82AD0">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一种湖泊湿地景观的生态脆弱度时空特征提取方法和聚集性判断方法</w:t>
            </w:r>
          </w:p>
        </w:tc>
        <w:tc>
          <w:tcPr>
            <w:tcW w:w="1048" w:type="pct"/>
            <w:vAlign w:val="center"/>
          </w:tcPr>
          <w:p w14:paraId="62EF3D36">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ZL 2021 1 0117599.7</w:t>
            </w:r>
          </w:p>
        </w:tc>
        <w:tc>
          <w:tcPr>
            <w:tcW w:w="679" w:type="pct"/>
            <w:vAlign w:val="center"/>
          </w:tcPr>
          <w:p w14:paraId="0F0C1DAE">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中南林业科技大学</w:t>
            </w:r>
          </w:p>
        </w:tc>
        <w:tc>
          <w:tcPr>
            <w:tcW w:w="1176" w:type="pct"/>
            <w:vAlign w:val="center"/>
          </w:tcPr>
          <w:p w14:paraId="5EDB669D">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杨柳青,冉谨恺</w:t>
            </w:r>
          </w:p>
        </w:tc>
        <w:tc>
          <w:tcPr>
            <w:tcW w:w="472" w:type="pct"/>
            <w:vAlign w:val="center"/>
          </w:tcPr>
          <w:p w14:paraId="21FC7D0A">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202403</w:t>
            </w:r>
          </w:p>
        </w:tc>
      </w:tr>
      <w:tr w14:paraId="6E5ED6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14:paraId="10C4591D">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4</w:t>
            </w:r>
          </w:p>
        </w:tc>
        <w:tc>
          <w:tcPr>
            <w:tcW w:w="1362" w:type="pct"/>
            <w:vAlign w:val="center"/>
          </w:tcPr>
          <w:p w14:paraId="579B6CA0">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悬挂夹持振动采收机</w:t>
            </w:r>
          </w:p>
        </w:tc>
        <w:tc>
          <w:tcPr>
            <w:tcW w:w="1048" w:type="pct"/>
            <w:vAlign w:val="center"/>
          </w:tcPr>
          <w:p w14:paraId="00A30DB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ZL202011153518.0</w:t>
            </w:r>
          </w:p>
        </w:tc>
        <w:tc>
          <w:tcPr>
            <w:tcW w:w="679" w:type="pct"/>
            <w:vAlign w:val="center"/>
          </w:tcPr>
          <w:p w14:paraId="0A520C49">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中南林业科技大学</w:t>
            </w:r>
          </w:p>
        </w:tc>
        <w:tc>
          <w:tcPr>
            <w:tcW w:w="1176" w:type="pct"/>
            <w:vAlign w:val="center"/>
          </w:tcPr>
          <w:p w14:paraId="08AE081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廖凯,古全元,汤刚车,高自成,李立君,闵淑辉,赵青</w:t>
            </w:r>
          </w:p>
        </w:tc>
        <w:tc>
          <w:tcPr>
            <w:tcW w:w="472" w:type="pct"/>
            <w:vAlign w:val="center"/>
          </w:tcPr>
          <w:p w14:paraId="177928D8">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202403</w:t>
            </w:r>
          </w:p>
        </w:tc>
      </w:tr>
      <w:tr w14:paraId="4E36FB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14:paraId="033E9AE1">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5</w:t>
            </w:r>
          </w:p>
        </w:tc>
        <w:tc>
          <w:tcPr>
            <w:tcW w:w="1362" w:type="pct"/>
            <w:vAlign w:val="center"/>
          </w:tcPr>
          <w:p w14:paraId="13C84AEF">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基于InVEST模型评估生态退杨对水源涵养功能影响的方法</w:t>
            </w:r>
          </w:p>
        </w:tc>
        <w:tc>
          <w:tcPr>
            <w:tcW w:w="1048" w:type="pct"/>
            <w:vAlign w:val="center"/>
          </w:tcPr>
          <w:p w14:paraId="05EF7837">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ZL 2020 1 0725435.8</w:t>
            </w:r>
          </w:p>
        </w:tc>
        <w:tc>
          <w:tcPr>
            <w:tcW w:w="679" w:type="pct"/>
            <w:vAlign w:val="center"/>
          </w:tcPr>
          <w:p w14:paraId="4EE381BD">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中南林业科技大学</w:t>
            </w:r>
          </w:p>
        </w:tc>
        <w:tc>
          <w:tcPr>
            <w:tcW w:w="1176" w:type="pct"/>
            <w:vAlign w:val="center"/>
          </w:tcPr>
          <w:p w14:paraId="08F50C80">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胡文敏,李果</w:t>
            </w:r>
          </w:p>
        </w:tc>
        <w:tc>
          <w:tcPr>
            <w:tcW w:w="472" w:type="pct"/>
            <w:vAlign w:val="center"/>
          </w:tcPr>
          <w:p w14:paraId="3BED4000">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both"/>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202409</w:t>
            </w:r>
          </w:p>
        </w:tc>
      </w:tr>
    </w:tbl>
    <w:p w14:paraId="2AC64B00">
      <w:pPr>
        <w:keepNext w:val="0"/>
        <w:keepLines w:val="0"/>
        <w:pageBreakBefore w:val="0"/>
        <w:widowControl w:val="0"/>
        <w:kinsoku/>
        <w:wordWrap/>
        <w:overflowPunct w:val="0"/>
        <w:topLinePunct w:val="0"/>
        <w:autoSpaceDE/>
        <w:autoSpaceDN/>
        <w:bidi w:val="0"/>
        <w:adjustRightInd w:val="0"/>
        <w:snapToGrid w:val="0"/>
        <w:spacing w:line="240" w:lineRule="exact"/>
        <w:ind w:left="0" w:leftChars="0" w:right="0" w:rightChars="0"/>
        <w:jc w:val="center"/>
        <w:textAlignment w:val="auto"/>
        <w:rPr>
          <w:rFonts w:hint="default" w:ascii="Times New Roman" w:hAnsi="Times New Roman" w:eastAsia="宋体" w:cs="Times New Roman"/>
          <w:b/>
          <w:color w:val="000000"/>
          <w:szCs w:val="21"/>
        </w:rPr>
      </w:pPr>
    </w:p>
    <w:p w14:paraId="6504C5DB">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jc w:val="center"/>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 xml:space="preserve">表10  标准情况  </w:t>
      </w:r>
    </w:p>
    <w:tbl>
      <w:tblPr>
        <w:tblStyle w:val="12"/>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1"/>
        <w:gridCol w:w="2492"/>
        <w:gridCol w:w="3076"/>
        <w:gridCol w:w="1471"/>
        <w:gridCol w:w="1138"/>
      </w:tblGrid>
      <w:tr w14:paraId="4D851F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67" w:type="pct"/>
            <w:vAlign w:val="center"/>
          </w:tcPr>
          <w:p w14:paraId="03275FB1">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hint="default" w:ascii="Times New Roman" w:hAnsi="Times New Roman" w:cs="Times New Roman" w:eastAsiaTheme="majorEastAsia"/>
                <w:b/>
                <w:szCs w:val="21"/>
              </w:rPr>
            </w:pPr>
            <w:r>
              <w:rPr>
                <w:rFonts w:hint="default" w:ascii="Times New Roman" w:hAnsi="Times New Roman" w:cs="Times New Roman" w:eastAsiaTheme="majorEastAsia"/>
                <w:b/>
                <w:szCs w:val="21"/>
              </w:rPr>
              <w:t>序号</w:t>
            </w:r>
          </w:p>
        </w:tc>
        <w:tc>
          <w:tcPr>
            <w:tcW w:w="1442" w:type="pct"/>
            <w:vAlign w:val="center"/>
          </w:tcPr>
          <w:p w14:paraId="188EC9D1">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hint="default" w:ascii="Times New Roman" w:hAnsi="Times New Roman" w:cs="Times New Roman" w:eastAsiaTheme="majorEastAsia"/>
                <w:b/>
                <w:szCs w:val="21"/>
              </w:rPr>
            </w:pPr>
            <w:r>
              <w:rPr>
                <w:rFonts w:hint="default" w:ascii="Times New Roman" w:hAnsi="Times New Roman" w:cs="Times New Roman" w:eastAsiaTheme="majorEastAsia"/>
                <w:b/>
                <w:szCs w:val="21"/>
              </w:rPr>
              <w:t>标准名称</w:t>
            </w:r>
          </w:p>
        </w:tc>
        <w:tc>
          <w:tcPr>
            <w:tcW w:w="1780" w:type="pct"/>
            <w:vAlign w:val="center"/>
          </w:tcPr>
          <w:p w14:paraId="38E11977">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hint="default" w:ascii="Times New Roman" w:hAnsi="Times New Roman" w:cs="Times New Roman" w:eastAsiaTheme="majorEastAsia"/>
                <w:b/>
                <w:szCs w:val="21"/>
              </w:rPr>
            </w:pPr>
            <w:r>
              <w:rPr>
                <w:rFonts w:hint="default" w:ascii="Times New Roman" w:hAnsi="Times New Roman" w:cs="Times New Roman" w:eastAsiaTheme="majorEastAsia"/>
                <w:b/>
                <w:szCs w:val="21"/>
              </w:rPr>
              <w:t>标准号</w:t>
            </w:r>
          </w:p>
        </w:tc>
        <w:tc>
          <w:tcPr>
            <w:tcW w:w="851" w:type="pct"/>
            <w:vAlign w:val="center"/>
          </w:tcPr>
          <w:p w14:paraId="2E9AC01A">
            <w:pPr>
              <w:keepNext w:val="0"/>
              <w:keepLines w:val="0"/>
              <w:pageBreakBefore w:val="0"/>
              <w:widowControl w:val="0"/>
              <w:kinsoku/>
              <w:wordWrap/>
              <w:overflowPunct w:val="0"/>
              <w:topLinePunct w:val="0"/>
              <w:autoSpaceDE/>
              <w:autoSpaceDN/>
              <w:bidi w:val="0"/>
              <w:spacing w:line="320" w:lineRule="exact"/>
              <w:ind w:left="0" w:leftChars="0" w:right="0" w:rightChars="0"/>
              <w:rPr>
                <w:rFonts w:hint="default" w:ascii="Times New Roman" w:hAnsi="Times New Roman" w:cs="Times New Roman" w:eastAsiaTheme="majorEastAsia"/>
                <w:b/>
                <w:szCs w:val="21"/>
              </w:rPr>
            </w:pPr>
            <w:r>
              <w:rPr>
                <w:rFonts w:hint="default" w:ascii="Times New Roman" w:hAnsi="Times New Roman" w:cs="Times New Roman" w:eastAsiaTheme="majorEastAsia"/>
                <w:b/>
                <w:szCs w:val="21"/>
              </w:rPr>
              <w:t>编制人</w:t>
            </w:r>
          </w:p>
        </w:tc>
        <w:tc>
          <w:tcPr>
            <w:tcW w:w="658" w:type="pct"/>
            <w:vAlign w:val="center"/>
          </w:tcPr>
          <w:p w14:paraId="01C85F12">
            <w:pPr>
              <w:keepNext w:val="0"/>
              <w:keepLines w:val="0"/>
              <w:pageBreakBefore w:val="0"/>
              <w:widowControl w:val="0"/>
              <w:kinsoku/>
              <w:wordWrap/>
              <w:overflowPunct w:val="0"/>
              <w:topLinePunct w:val="0"/>
              <w:autoSpaceDE/>
              <w:autoSpaceDN/>
              <w:bidi w:val="0"/>
              <w:spacing w:line="320" w:lineRule="exact"/>
              <w:ind w:left="0" w:leftChars="0" w:right="0" w:rightChars="0"/>
              <w:jc w:val="center"/>
              <w:rPr>
                <w:rFonts w:hint="default" w:ascii="Times New Roman" w:hAnsi="Times New Roman" w:cs="Times New Roman" w:eastAsiaTheme="majorEastAsia"/>
                <w:b/>
                <w:szCs w:val="21"/>
              </w:rPr>
            </w:pPr>
            <w:r>
              <w:rPr>
                <w:rFonts w:hint="default" w:ascii="Times New Roman" w:hAnsi="Times New Roman" w:cs="Times New Roman" w:eastAsiaTheme="majorEastAsia"/>
                <w:b/>
                <w:szCs w:val="21"/>
              </w:rPr>
              <w:t>发布时间</w:t>
            </w:r>
          </w:p>
        </w:tc>
      </w:tr>
      <w:tr w14:paraId="54F7B9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67" w:type="pct"/>
          </w:tcPr>
          <w:p w14:paraId="07235001">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hint="default" w:ascii="Times New Roman" w:hAnsi="Times New Roman" w:cs="Times New Roman" w:eastAsiaTheme="majorEastAsia"/>
                <w:kern w:val="0"/>
                <w:sz w:val="20"/>
                <w:szCs w:val="21"/>
              </w:rPr>
            </w:pPr>
            <w:r>
              <w:rPr>
                <w:rFonts w:hint="default" w:ascii="Times New Roman" w:hAnsi="Times New Roman" w:cs="Times New Roman" w:eastAsiaTheme="majorEastAsia"/>
                <w:kern w:val="0"/>
                <w:sz w:val="20"/>
                <w:szCs w:val="21"/>
              </w:rPr>
              <w:t>1</w:t>
            </w:r>
          </w:p>
        </w:tc>
        <w:tc>
          <w:tcPr>
            <w:tcW w:w="1442" w:type="pct"/>
            <w:vAlign w:val="center"/>
          </w:tcPr>
          <w:p w14:paraId="70C0E21E">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kern w:val="0"/>
                <w:sz w:val="20"/>
                <w:szCs w:val="21"/>
              </w:rPr>
            </w:pPr>
            <w:r>
              <w:rPr>
                <w:rFonts w:hint="default" w:ascii="Times New Roman" w:hAnsi="Times New Roman" w:cs="Times New Roman" w:eastAsiaTheme="majorEastAsia"/>
                <w:kern w:val="0"/>
                <w:sz w:val="20"/>
                <w:szCs w:val="21"/>
              </w:rPr>
              <w:t>立体绿化技术规程</w:t>
            </w:r>
          </w:p>
        </w:tc>
        <w:tc>
          <w:tcPr>
            <w:tcW w:w="1780" w:type="pct"/>
            <w:vAlign w:val="center"/>
          </w:tcPr>
          <w:p w14:paraId="32AF9C19">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kern w:val="0"/>
                <w:sz w:val="20"/>
                <w:szCs w:val="21"/>
              </w:rPr>
            </w:pPr>
            <w:r>
              <w:rPr>
                <w:rFonts w:hint="default" w:ascii="Times New Roman" w:hAnsi="Times New Roman" w:cs="Times New Roman"/>
                <w:color w:val="333333"/>
                <w:sz w:val="18"/>
                <w:szCs w:val="18"/>
              </w:rPr>
              <w:t>DB43/T 3072-2024</w:t>
            </w:r>
          </w:p>
        </w:tc>
        <w:tc>
          <w:tcPr>
            <w:tcW w:w="851" w:type="pct"/>
            <w:vAlign w:val="center"/>
          </w:tcPr>
          <w:p w14:paraId="16044706">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left"/>
              <w:rPr>
                <w:rFonts w:hint="default" w:ascii="Times New Roman" w:hAnsi="Times New Roman" w:cs="Times New Roman" w:eastAsiaTheme="majorEastAsia"/>
                <w:kern w:val="0"/>
                <w:sz w:val="20"/>
                <w:szCs w:val="21"/>
              </w:rPr>
            </w:pPr>
            <w:r>
              <w:rPr>
                <w:rFonts w:hint="default" w:ascii="Times New Roman" w:hAnsi="Times New Roman" w:cs="Times New Roman" w:eastAsiaTheme="majorEastAsia"/>
                <w:kern w:val="0"/>
                <w:sz w:val="20"/>
                <w:szCs w:val="21"/>
              </w:rPr>
              <w:t>杨柳青等</w:t>
            </w:r>
          </w:p>
        </w:tc>
        <w:tc>
          <w:tcPr>
            <w:tcW w:w="658" w:type="pct"/>
            <w:vAlign w:val="center"/>
          </w:tcPr>
          <w:p w14:paraId="3D255FC9">
            <w:pPr>
              <w:keepNext w:val="0"/>
              <w:keepLines w:val="0"/>
              <w:pageBreakBefore w:val="0"/>
              <w:widowControl w:val="0"/>
              <w:kinsoku/>
              <w:wordWrap/>
              <w:overflowPunct w:val="0"/>
              <w:topLinePunct w:val="0"/>
              <w:autoSpaceDE/>
              <w:autoSpaceDN/>
              <w:bidi w:val="0"/>
              <w:adjustRightInd w:val="0"/>
              <w:spacing w:line="320" w:lineRule="exact"/>
              <w:ind w:left="0" w:leftChars="0" w:right="0" w:rightChars="0"/>
              <w:jc w:val="center"/>
              <w:rPr>
                <w:rFonts w:hint="default" w:ascii="Times New Roman" w:hAnsi="Times New Roman" w:cs="Times New Roman" w:eastAsiaTheme="majorEastAsia"/>
                <w:kern w:val="0"/>
                <w:sz w:val="20"/>
                <w:szCs w:val="21"/>
              </w:rPr>
            </w:pPr>
            <w:r>
              <w:rPr>
                <w:rFonts w:hint="default" w:ascii="Times New Roman" w:hAnsi="Times New Roman" w:cs="Times New Roman" w:eastAsiaTheme="majorEastAsia"/>
                <w:kern w:val="0"/>
                <w:sz w:val="20"/>
                <w:szCs w:val="21"/>
              </w:rPr>
              <w:t>202408</w:t>
            </w:r>
          </w:p>
        </w:tc>
      </w:tr>
    </w:tbl>
    <w:p w14:paraId="7490B51D">
      <w:pPr>
        <w:rPr>
          <w:rFonts w:hint="default"/>
          <w:lang w:val="en-US" w:eastAsia="zh-CN"/>
        </w:rPr>
      </w:pPr>
    </w:p>
    <w:p w14:paraId="6CA5B217">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firstLine="480" w:firstLineChars="200"/>
        <w:jc w:val="left"/>
        <w:textAlignment w:val="auto"/>
        <w:outlineLvl w:val="2"/>
        <w:rPr>
          <w:rStyle w:val="27"/>
          <w:rFonts w:hint="default" w:ascii="Times New Roman" w:hAnsi="Times New Roman" w:eastAsia="黑体" w:cs="Times New Roman"/>
          <w:b w:val="0"/>
          <w:bCs/>
          <w:sz w:val="24"/>
          <w:szCs w:val="24"/>
          <w:lang w:val="en-US" w:eastAsia="zh-CN"/>
        </w:rPr>
      </w:pPr>
      <w:r>
        <w:rPr>
          <w:rStyle w:val="27"/>
          <w:rFonts w:hint="default" w:ascii="Times New Roman" w:hAnsi="Times New Roman" w:eastAsia="黑体" w:cs="Times New Roman"/>
          <w:b w:val="0"/>
          <w:bCs/>
          <w:sz w:val="24"/>
          <w:szCs w:val="24"/>
          <w:lang w:val="en-US" w:eastAsia="zh-CN"/>
        </w:rPr>
        <w:t>3.科研项目情况</w:t>
      </w:r>
    </w:p>
    <w:p w14:paraId="7736489B">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获批国家重点研发项目课题1项、子课题2项，国家自然科学基金项目2项（其中面上项目1项、青年基金项目1项），湖南省自科基金2项、社科基金1项，湖南省教育厅重点项目1项、优秀青年项目2项、一般项目5项，其他厅局级项目7项。</w:t>
      </w:r>
    </w:p>
    <w:p w14:paraId="2BA9D8DF">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jc w:val="center"/>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 xml:space="preserve">表11  科研项目情况(限10项)  </w:t>
      </w:r>
    </w:p>
    <w:tbl>
      <w:tblPr>
        <w:tblStyle w:val="1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4"/>
        <w:gridCol w:w="942"/>
        <w:gridCol w:w="848"/>
        <w:gridCol w:w="1410"/>
        <w:gridCol w:w="857"/>
        <w:gridCol w:w="895"/>
        <w:gridCol w:w="867"/>
        <w:gridCol w:w="941"/>
        <w:gridCol w:w="687"/>
        <w:gridCol w:w="710"/>
      </w:tblGrid>
      <w:tr w14:paraId="284E06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 w:type="pct"/>
            <w:vAlign w:val="center"/>
          </w:tcPr>
          <w:p w14:paraId="192D000B">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cs="Times New Roman" w:eastAsiaTheme="majorEastAsia"/>
                <w:b/>
                <w:kern w:val="0"/>
                <w:sz w:val="21"/>
                <w:szCs w:val="21"/>
              </w:rPr>
              <w:t>序号</w:t>
            </w:r>
          </w:p>
        </w:tc>
        <w:tc>
          <w:tcPr>
            <w:tcW w:w="545" w:type="pct"/>
            <w:vAlign w:val="center"/>
          </w:tcPr>
          <w:p w14:paraId="6E67660F">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cs="Times New Roman" w:eastAsiaTheme="majorEastAsia"/>
                <w:b/>
                <w:kern w:val="0"/>
                <w:sz w:val="21"/>
                <w:szCs w:val="21"/>
              </w:rPr>
              <w:t>项目</w:t>
            </w:r>
          </w:p>
          <w:p w14:paraId="0FC332E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cs="Times New Roman" w:eastAsiaTheme="majorEastAsia"/>
                <w:b/>
                <w:kern w:val="0"/>
                <w:sz w:val="21"/>
                <w:szCs w:val="21"/>
              </w:rPr>
              <w:t>来源</w:t>
            </w:r>
          </w:p>
        </w:tc>
        <w:tc>
          <w:tcPr>
            <w:tcW w:w="490" w:type="pct"/>
            <w:vAlign w:val="center"/>
          </w:tcPr>
          <w:p w14:paraId="4E849FA9">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cs="Times New Roman" w:eastAsiaTheme="majorEastAsia"/>
                <w:b/>
                <w:kern w:val="0"/>
                <w:sz w:val="21"/>
                <w:szCs w:val="21"/>
              </w:rPr>
              <w:t>项目</w:t>
            </w:r>
          </w:p>
          <w:p w14:paraId="50EDE4C5">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cs="Times New Roman" w:eastAsiaTheme="majorEastAsia"/>
                <w:b/>
                <w:kern w:val="0"/>
                <w:sz w:val="21"/>
                <w:szCs w:val="21"/>
              </w:rPr>
              <w:t>类型</w:t>
            </w:r>
          </w:p>
        </w:tc>
        <w:tc>
          <w:tcPr>
            <w:tcW w:w="815" w:type="pct"/>
            <w:vAlign w:val="center"/>
          </w:tcPr>
          <w:p w14:paraId="147CA876">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cs="Times New Roman" w:eastAsiaTheme="majorEastAsia"/>
                <w:b/>
                <w:kern w:val="0"/>
                <w:sz w:val="21"/>
                <w:szCs w:val="21"/>
              </w:rPr>
              <w:t>项目（课题）</w:t>
            </w:r>
          </w:p>
          <w:p w14:paraId="516E3341">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cs="Times New Roman" w:eastAsiaTheme="majorEastAsia"/>
                <w:b/>
                <w:kern w:val="0"/>
                <w:sz w:val="21"/>
                <w:szCs w:val="21"/>
              </w:rPr>
              <w:t>名称</w:t>
            </w:r>
          </w:p>
        </w:tc>
        <w:tc>
          <w:tcPr>
            <w:tcW w:w="495" w:type="pct"/>
            <w:vAlign w:val="center"/>
          </w:tcPr>
          <w:p w14:paraId="0BB12EB7">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cs="Times New Roman" w:eastAsiaTheme="majorEastAsia"/>
                <w:b/>
                <w:kern w:val="0"/>
                <w:sz w:val="21"/>
                <w:szCs w:val="21"/>
              </w:rPr>
              <w:t>项目</w:t>
            </w:r>
          </w:p>
          <w:p w14:paraId="2759DDC0">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cs="Times New Roman" w:eastAsiaTheme="majorEastAsia"/>
                <w:b/>
                <w:kern w:val="0"/>
                <w:sz w:val="21"/>
                <w:szCs w:val="21"/>
              </w:rPr>
              <w:t>编号</w:t>
            </w:r>
          </w:p>
        </w:tc>
        <w:tc>
          <w:tcPr>
            <w:tcW w:w="517" w:type="pct"/>
            <w:vAlign w:val="center"/>
          </w:tcPr>
          <w:p w14:paraId="3D9CDC3A">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cs="Times New Roman" w:eastAsiaTheme="majorEastAsia"/>
                <w:b/>
                <w:kern w:val="0"/>
                <w:sz w:val="21"/>
                <w:szCs w:val="21"/>
              </w:rPr>
              <w:t>负责人</w:t>
            </w:r>
          </w:p>
        </w:tc>
        <w:tc>
          <w:tcPr>
            <w:tcW w:w="501" w:type="pct"/>
            <w:vAlign w:val="center"/>
          </w:tcPr>
          <w:p w14:paraId="45B96FDE">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cs="Times New Roman" w:eastAsiaTheme="majorEastAsia"/>
                <w:b/>
                <w:kern w:val="0"/>
                <w:sz w:val="21"/>
                <w:szCs w:val="21"/>
              </w:rPr>
              <w:t>立项</w:t>
            </w:r>
          </w:p>
          <w:p w14:paraId="7605667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spacing w:val="-20"/>
                <w:kern w:val="0"/>
                <w:sz w:val="21"/>
                <w:szCs w:val="21"/>
              </w:rPr>
            </w:pPr>
            <w:r>
              <w:rPr>
                <w:rFonts w:hint="default" w:ascii="Times New Roman" w:hAnsi="Times New Roman" w:cs="Times New Roman" w:eastAsiaTheme="majorEastAsia"/>
                <w:b/>
                <w:kern w:val="0"/>
                <w:sz w:val="21"/>
                <w:szCs w:val="21"/>
              </w:rPr>
              <w:t>时间</w:t>
            </w:r>
          </w:p>
        </w:tc>
        <w:tc>
          <w:tcPr>
            <w:tcW w:w="544" w:type="pct"/>
            <w:vAlign w:val="center"/>
          </w:tcPr>
          <w:p w14:paraId="48390D1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cs="Times New Roman" w:eastAsiaTheme="majorEastAsia"/>
                <w:b/>
                <w:kern w:val="0"/>
                <w:sz w:val="21"/>
                <w:szCs w:val="21"/>
              </w:rPr>
              <w:t>起讫</w:t>
            </w:r>
          </w:p>
          <w:p w14:paraId="4FB8232A">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spacing w:val="-20"/>
                <w:kern w:val="0"/>
                <w:sz w:val="21"/>
                <w:szCs w:val="21"/>
              </w:rPr>
            </w:pPr>
            <w:r>
              <w:rPr>
                <w:rFonts w:hint="default" w:ascii="Times New Roman" w:hAnsi="Times New Roman" w:cs="Times New Roman" w:eastAsiaTheme="majorEastAsia"/>
                <w:b/>
                <w:kern w:val="0"/>
                <w:sz w:val="21"/>
                <w:szCs w:val="21"/>
              </w:rPr>
              <w:t>时间</w:t>
            </w:r>
          </w:p>
        </w:tc>
        <w:tc>
          <w:tcPr>
            <w:tcW w:w="397" w:type="pct"/>
            <w:vAlign w:val="center"/>
          </w:tcPr>
          <w:p w14:paraId="6629ED1B">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cs="Times New Roman" w:eastAsiaTheme="majorEastAsia"/>
                <w:b/>
                <w:kern w:val="0"/>
                <w:sz w:val="21"/>
                <w:szCs w:val="21"/>
              </w:rPr>
              <w:t>合同</w:t>
            </w:r>
          </w:p>
          <w:p w14:paraId="7179FF65">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cs="Times New Roman" w:eastAsiaTheme="majorEastAsia"/>
                <w:b/>
                <w:kern w:val="0"/>
                <w:sz w:val="21"/>
                <w:szCs w:val="21"/>
              </w:rPr>
              <w:t>经费（万元）</w:t>
            </w:r>
          </w:p>
        </w:tc>
        <w:tc>
          <w:tcPr>
            <w:tcW w:w="410" w:type="pct"/>
            <w:vAlign w:val="center"/>
          </w:tcPr>
          <w:p w14:paraId="7047B6AE">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cs="Times New Roman" w:eastAsiaTheme="majorEastAsia"/>
                <w:b/>
                <w:kern w:val="0"/>
                <w:sz w:val="21"/>
                <w:szCs w:val="21"/>
              </w:rPr>
              <w:t>到账</w:t>
            </w:r>
          </w:p>
          <w:p w14:paraId="0A382E1F">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cs="Times New Roman" w:eastAsiaTheme="majorEastAsia"/>
                <w:b/>
                <w:kern w:val="0"/>
                <w:sz w:val="21"/>
                <w:szCs w:val="21"/>
              </w:rPr>
              <w:t>经费（万元）</w:t>
            </w:r>
          </w:p>
        </w:tc>
      </w:tr>
      <w:tr w14:paraId="105622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 w:type="pct"/>
            <w:vAlign w:val="center"/>
          </w:tcPr>
          <w:p w14:paraId="546D47C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val="0"/>
                <w:bCs/>
                <w:kern w:val="0"/>
                <w:sz w:val="21"/>
                <w:szCs w:val="21"/>
              </w:rPr>
            </w:pPr>
            <w:r>
              <w:rPr>
                <w:rFonts w:hint="default" w:ascii="Times New Roman" w:hAnsi="Times New Roman" w:cs="Times New Roman" w:eastAsiaTheme="majorEastAsia"/>
                <w:b w:val="0"/>
                <w:bCs/>
                <w:kern w:val="0"/>
                <w:sz w:val="21"/>
                <w:szCs w:val="21"/>
              </w:rPr>
              <w:t>1</w:t>
            </w:r>
          </w:p>
        </w:tc>
        <w:tc>
          <w:tcPr>
            <w:tcW w:w="545" w:type="pct"/>
            <w:vAlign w:val="center"/>
          </w:tcPr>
          <w:p w14:paraId="7F67A3A3">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eastAsia="宋体" w:cs="Times New Roman"/>
                <w:color w:val="000000"/>
                <w:kern w:val="0"/>
                <w:sz w:val="21"/>
                <w:szCs w:val="21"/>
                <w:lang w:bidi="ar"/>
              </w:rPr>
              <w:t>科技部</w:t>
            </w:r>
          </w:p>
        </w:tc>
        <w:tc>
          <w:tcPr>
            <w:tcW w:w="490" w:type="pct"/>
            <w:vAlign w:val="center"/>
          </w:tcPr>
          <w:p w14:paraId="45FD9834">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rPr>
                <w:rFonts w:hint="default" w:ascii="Times New Roman" w:hAnsi="Times New Roman" w:cs="Times New Roman" w:eastAsiaTheme="majorEastAsia"/>
                <w:b/>
                <w:kern w:val="0"/>
                <w:sz w:val="21"/>
                <w:szCs w:val="21"/>
              </w:rPr>
            </w:pPr>
            <w:r>
              <w:rPr>
                <w:rFonts w:hint="default" w:ascii="Times New Roman" w:hAnsi="Times New Roman" w:eastAsia="宋体" w:cs="Times New Roman"/>
                <w:color w:val="000000"/>
                <w:kern w:val="0"/>
                <w:sz w:val="21"/>
                <w:szCs w:val="21"/>
                <w:lang w:bidi="ar"/>
              </w:rPr>
              <w:t>国家重点研发计划项目</w:t>
            </w:r>
          </w:p>
        </w:tc>
        <w:tc>
          <w:tcPr>
            <w:tcW w:w="815" w:type="pct"/>
            <w:vAlign w:val="center"/>
          </w:tcPr>
          <w:p w14:paraId="2CC4E3A0">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rPr>
                <w:rFonts w:hint="default" w:ascii="Times New Roman" w:hAnsi="Times New Roman" w:cs="Times New Roman" w:eastAsiaTheme="majorEastAsia"/>
                <w:b/>
                <w:kern w:val="0"/>
                <w:sz w:val="21"/>
                <w:szCs w:val="21"/>
              </w:rPr>
            </w:pPr>
            <w:r>
              <w:rPr>
                <w:rFonts w:hint="default" w:ascii="Times New Roman" w:hAnsi="Times New Roman" w:eastAsia="宋体" w:cs="Times New Roman"/>
                <w:color w:val="000000"/>
                <w:kern w:val="0"/>
                <w:sz w:val="21"/>
                <w:szCs w:val="21"/>
                <w:lang w:bidi="ar"/>
              </w:rPr>
              <w:t>乡村多功能森林营建与植物优化配置研究</w:t>
            </w:r>
          </w:p>
        </w:tc>
        <w:tc>
          <w:tcPr>
            <w:tcW w:w="495" w:type="pct"/>
            <w:vAlign w:val="center"/>
          </w:tcPr>
          <w:p w14:paraId="185D37B6">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kern w:val="0"/>
                <w:sz w:val="21"/>
                <w:szCs w:val="21"/>
                <w:highlight w:val="yellow"/>
              </w:rPr>
            </w:pPr>
            <w:r>
              <w:rPr>
                <w:rFonts w:hint="default" w:ascii="Times New Roman" w:hAnsi="Times New Roman" w:cs="Times New Roman" w:eastAsiaTheme="majorEastAsia"/>
                <w:kern w:val="0"/>
                <w:sz w:val="21"/>
                <w:szCs w:val="21"/>
              </w:rPr>
              <w:t>2024YFD2200903</w:t>
            </w:r>
          </w:p>
        </w:tc>
        <w:tc>
          <w:tcPr>
            <w:tcW w:w="517" w:type="pct"/>
            <w:vAlign w:val="center"/>
          </w:tcPr>
          <w:p w14:paraId="4B2EF8A4">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eastAsia="宋体" w:cs="Times New Roman"/>
                <w:color w:val="000000"/>
                <w:kern w:val="0"/>
                <w:sz w:val="21"/>
                <w:szCs w:val="21"/>
                <w:lang w:bidi="ar"/>
              </w:rPr>
              <w:t>沈守云</w:t>
            </w:r>
          </w:p>
        </w:tc>
        <w:tc>
          <w:tcPr>
            <w:tcW w:w="501" w:type="pct"/>
            <w:vAlign w:val="center"/>
          </w:tcPr>
          <w:p w14:paraId="640575E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eastAsia="宋体" w:cs="Times New Roman"/>
                <w:color w:val="000000"/>
                <w:kern w:val="0"/>
                <w:sz w:val="21"/>
                <w:szCs w:val="21"/>
                <w:lang w:bidi="ar"/>
              </w:rPr>
              <w:t>202412</w:t>
            </w:r>
          </w:p>
        </w:tc>
        <w:tc>
          <w:tcPr>
            <w:tcW w:w="544" w:type="pct"/>
            <w:vAlign w:val="center"/>
          </w:tcPr>
          <w:p w14:paraId="40892650">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rPr>
            </w:pPr>
            <w:r>
              <w:rPr>
                <w:rFonts w:hint="default" w:ascii="Times New Roman" w:hAnsi="Times New Roman" w:eastAsia="宋体" w:cs="Times New Roman"/>
                <w:color w:val="000000"/>
                <w:kern w:val="0"/>
                <w:sz w:val="21"/>
                <w:szCs w:val="21"/>
                <w:lang w:bidi="ar"/>
              </w:rPr>
              <w:t>202412-202712</w:t>
            </w:r>
          </w:p>
        </w:tc>
        <w:tc>
          <w:tcPr>
            <w:tcW w:w="397" w:type="pct"/>
            <w:vAlign w:val="center"/>
          </w:tcPr>
          <w:p w14:paraId="688FAD84">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highlight w:val="yellow"/>
              </w:rPr>
            </w:pPr>
            <w:r>
              <w:rPr>
                <w:rFonts w:hint="default" w:ascii="Times New Roman" w:hAnsi="Times New Roman" w:eastAsia="宋体" w:cs="Times New Roman"/>
                <w:color w:val="000000"/>
                <w:kern w:val="0"/>
                <w:sz w:val="21"/>
                <w:szCs w:val="21"/>
                <w:lang w:bidi="ar"/>
              </w:rPr>
              <w:t>320</w:t>
            </w:r>
          </w:p>
        </w:tc>
        <w:tc>
          <w:tcPr>
            <w:tcW w:w="410" w:type="pct"/>
            <w:vAlign w:val="center"/>
          </w:tcPr>
          <w:p w14:paraId="6B0094B7">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kern w:val="0"/>
                <w:sz w:val="21"/>
                <w:szCs w:val="21"/>
                <w:highlight w:val="yellow"/>
                <w:lang w:val="en-US" w:eastAsia="zh-CN"/>
              </w:rPr>
            </w:pPr>
            <w:r>
              <w:rPr>
                <w:rFonts w:hint="default" w:ascii="Times New Roman" w:hAnsi="Times New Roman" w:eastAsia="宋体" w:cs="Times New Roman"/>
                <w:color w:val="000000"/>
                <w:kern w:val="0"/>
                <w:sz w:val="21"/>
                <w:szCs w:val="21"/>
                <w:lang w:val="en-US" w:eastAsia="zh-CN" w:bidi="ar"/>
              </w:rPr>
              <w:t>130</w:t>
            </w:r>
          </w:p>
        </w:tc>
      </w:tr>
      <w:tr w14:paraId="6E0747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40" w:hRule="atLeast"/>
          <w:jc w:val="center"/>
        </w:trPr>
        <w:tc>
          <w:tcPr>
            <w:tcW w:w="280" w:type="pct"/>
            <w:vAlign w:val="center"/>
          </w:tcPr>
          <w:p w14:paraId="537CF36E">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val="0"/>
                <w:bCs/>
                <w:kern w:val="0"/>
                <w:sz w:val="21"/>
                <w:szCs w:val="21"/>
              </w:rPr>
            </w:pPr>
            <w:r>
              <w:rPr>
                <w:rFonts w:hint="default" w:ascii="Times New Roman" w:hAnsi="Times New Roman" w:cs="Times New Roman" w:eastAsiaTheme="majorEastAsia"/>
                <w:b w:val="0"/>
                <w:bCs/>
                <w:kern w:val="0"/>
                <w:sz w:val="21"/>
                <w:szCs w:val="21"/>
              </w:rPr>
              <w:t>2</w:t>
            </w:r>
          </w:p>
        </w:tc>
        <w:tc>
          <w:tcPr>
            <w:tcW w:w="545" w:type="pct"/>
            <w:vAlign w:val="center"/>
          </w:tcPr>
          <w:p w14:paraId="7B939FB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国家自然科学基金委</w:t>
            </w:r>
          </w:p>
        </w:tc>
        <w:tc>
          <w:tcPr>
            <w:tcW w:w="490" w:type="pct"/>
            <w:vAlign w:val="center"/>
          </w:tcPr>
          <w:p w14:paraId="69635119">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国家自然科学基金项目</w:t>
            </w:r>
          </w:p>
        </w:tc>
        <w:tc>
          <w:tcPr>
            <w:tcW w:w="815" w:type="pct"/>
            <w:vAlign w:val="center"/>
          </w:tcPr>
          <w:p w14:paraId="222B24A5">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RcHSF24-JHDMs介导的H3K27me3修饰提高玫瑰抗热的分子机制研究</w:t>
            </w:r>
          </w:p>
        </w:tc>
        <w:tc>
          <w:tcPr>
            <w:tcW w:w="495" w:type="pct"/>
            <w:vAlign w:val="center"/>
          </w:tcPr>
          <w:p w14:paraId="6C298B61">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kern w:val="0"/>
                <w:sz w:val="21"/>
                <w:szCs w:val="21"/>
                <w:highlight w:val="yellow"/>
              </w:rPr>
            </w:pPr>
            <w:r>
              <w:rPr>
                <w:rFonts w:hint="default" w:ascii="Times New Roman" w:hAnsi="Times New Roman" w:eastAsia="宋体" w:cs="Times New Roman"/>
                <w:color w:val="000000"/>
                <w:kern w:val="0"/>
                <w:sz w:val="21"/>
                <w:szCs w:val="21"/>
                <w:lang w:bidi="ar"/>
              </w:rPr>
              <w:t>32472787</w:t>
            </w:r>
          </w:p>
        </w:tc>
        <w:tc>
          <w:tcPr>
            <w:tcW w:w="517" w:type="pct"/>
            <w:vAlign w:val="center"/>
          </w:tcPr>
          <w:p w14:paraId="10D50659">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邢文</w:t>
            </w:r>
          </w:p>
        </w:tc>
        <w:tc>
          <w:tcPr>
            <w:tcW w:w="501" w:type="pct"/>
            <w:vAlign w:val="center"/>
          </w:tcPr>
          <w:p w14:paraId="57612C6B">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202408</w:t>
            </w:r>
          </w:p>
        </w:tc>
        <w:tc>
          <w:tcPr>
            <w:tcW w:w="544" w:type="pct"/>
            <w:vAlign w:val="center"/>
          </w:tcPr>
          <w:p w14:paraId="45F1E587">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202501-202812</w:t>
            </w:r>
          </w:p>
        </w:tc>
        <w:tc>
          <w:tcPr>
            <w:tcW w:w="397" w:type="pct"/>
            <w:vAlign w:val="center"/>
          </w:tcPr>
          <w:p w14:paraId="6BFF5205">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50</w:t>
            </w:r>
          </w:p>
        </w:tc>
        <w:tc>
          <w:tcPr>
            <w:tcW w:w="410" w:type="pct"/>
            <w:vAlign w:val="center"/>
          </w:tcPr>
          <w:p w14:paraId="3CFA6BD3">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25</w:t>
            </w:r>
          </w:p>
        </w:tc>
      </w:tr>
      <w:tr w14:paraId="390A70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0" w:hRule="atLeast"/>
          <w:jc w:val="center"/>
        </w:trPr>
        <w:tc>
          <w:tcPr>
            <w:tcW w:w="280" w:type="pct"/>
            <w:vAlign w:val="center"/>
          </w:tcPr>
          <w:p w14:paraId="2852E9DD">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val="0"/>
                <w:bCs/>
                <w:kern w:val="0"/>
                <w:sz w:val="21"/>
                <w:szCs w:val="21"/>
              </w:rPr>
            </w:pPr>
            <w:r>
              <w:rPr>
                <w:rFonts w:hint="default" w:ascii="Times New Roman" w:hAnsi="Times New Roman" w:cs="Times New Roman" w:eastAsiaTheme="majorEastAsia"/>
                <w:b w:val="0"/>
                <w:bCs/>
                <w:kern w:val="0"/>
                <w:sz w:val="21"/>
                <w:szCs w:val="21"/>
              </w:rPr>
              <w:t>3</w:t>
            </w:r>
          </w:p>
        </w:tc>
        <w:tc>
          <w:tcPr>
            <w:tcW w:w="545" w:type="pct"/>
            <w:vAlign w:val="center"/>
          </w:tcPr>
          <w:p w14:paraId="0FE29423">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国家自然科学基金委</w:t>
            </w:r>
          </w:p>
        </w:tc>
        <w:tc>
          <w:tcPr>
            <w:tcW w:w="490" w:type="pct"/>
            <w:vAlign w:val="center"/>
          </w:tcPr>
          <w:p w14:paraId="0259B5D2">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国家自然科学基金项目</w:t>
            </w:r>
          </w:p>
        </w:tc>
        <w:tc>
          <w:tcPr>
            <w:tcW w:w="815" w:type="pct"/>
            <w:vAlign w:val="center"/>
          </w:tcPr>
          <w:p w14:paraId="46A0E81F">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miR156-SPL9分子模块参与牡丹黄色花形成的调控机理研究</w:t>
            </w:r>
          </w:p>
        </w:tc>
        <w:tc>
          <w:tcPr>
            <w:tcW w:w="495" w:type="pct"/>
            <w:vAlign w:val="center"/>
          </w:tcPr>
          <w:p w14:paraId="25F5B4E6">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32401639</w:t>
            </w:r>
          </w:p>
        </w:tc>
        <w:tc>
          <w:tcPr>
            <w:tcW w:w="517" w:type="pct"/>
            <w:vAlign w:val="center"/>
          </w:tcPr>
          <w:p w14:paraId="5E29988B">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罗小宁</w:t>
            </w:r>
          </w:p>
        </w:tc>
        <w:tc>
          <w:tcPr>
            <w:tcW w:w="501" w:type="pct"/>
            <w:vAlign w:val="center"/>
          </w:tcPr>
          <w:p w14:paraId="7CCE0726">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202408</w:t>
            </w:r>
          </w:p>
        </w:tc>
        <w:tc>
          <w:tcPr>
            <w:tcW w:w="544" w:type="pct"/>
            <w:vAlign w:val="center"/>
          </w:tcPr>
          <w:p w14:paraId="06F54A46">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202501-202712</w:t>
            </w:r>
          </w:p>
        </w:tc>
        <w:tc>
          <w:tcPr>
            <w:tcW w:w="397" w:type="pct"/>
            <w:vAlign w:val="center"/>
          </w:tcPr>
          <w:p w14:paraId="0B2F1083">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30</w:t>
            </w:r>
          </w:p>
        </w:tc>
        <w:tc>
          <w:tcPr>
            <w:tcW w:w="410" w:type="pct"/>
            <w:vAlign w:val="center"/>
          </w:tcPr>
          <w:p w14:paraId="2799241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16.5</w:t>
            </w:r>
          </w:p>
        </w:tc>
      </w:tr>
      <w:tr w14:paraId="51C129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 w:type="pct"/>
            <w:shd w:val="clear" w:color="auto" w:fill="auto"/>
            <w:vAlign w:val="center"/>
          </w:tcPr>
          <w:p w14:paraId="608BD3A4">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val="0"/>
                <w:bCs/>
                <w:kern w:val="0"/>
                <w:sz w:val="21"/>
                <w:szCs w:val="21"/>
              </w:rPr>
            </w:pPr>
            <w:r>
              <w:rPr>
                <w:rFonts w:hint="default" w:ascii="Times New Roman" w:hAnsi="Times New Roman" w:cs="Times New Roman" w:eastAsiaTheme="majorEastAsia"/>
                <w:b w:val="0"/>
                <w:bCs/>
                <w:kern w:val="0"/>
                <w:sz w:val="21"/>
                <w:szCs w:val="21"/>
              </w:rPr>
              <w:t>4</w:t>
            </w:r>
          </w:p>
        </w:tc>
        <w:tc>
          <w:tcPr>
            <w:tcW w:w="545" w:type="pct"/>
            <w:shd w:val="clear" w:color="auto" w:fill="auto"/>
            <w:vAlign w:val="center"/>
          </w:tcPr>
          <w:p w14:paraId="6F432A4B">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科技部</w:t>
            </w:r>
          </w:p>
        </w:tc>
        <w:tc>
          <w:tcPr>
            <w:tcW w:w="490" w:type="pct"/>
            <w:shd w:val="clear" w:color="auto" w:fill="auto"/>
            <w:vAlign w:val="center"/>
          </w:tcPr>
          <w:p w14:paraId="7EBA78C7">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国家重点研发计划项目</w:t>
            </w:r>
          </w:p>
        </w:tc>
        <w:tc>
          <w:tcPr>
            <w:tcW w:w="815" w:type="pct"/>
            <w:shd w:val="clear" w:color="auto" w:fill="auto"/>
            <w:vAlign w:val="center"/>
          </w:tcPr>
          <w:p w14:paraId="52B85C1C">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乡村植物景观评价技术研究</w:t>
            </w:r>
          </w:p>
        </w:tc>
        <w:tc>
          <w:tcPr>
            <w:tcW w:w="495" w:type="pct"/>
            <w:vAlign w:val="center"/>
          </w:tcPr>
          <w:p w14:paraId="05B274B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kern w:val="0"/>
                <w:sz w:val="21"/>
                <w:szCs w:val="21"/>
                <w:highlight w:val="yellow"/>
              </w:rPr>
            </w:pPr>
            <w:r>
              <w:rPr>
                <w:rFonts w:hint="default" w:ascii="Times New Roman" w:hAnsi="Times New Roman" w:cs="Times New Roman" w:eastAsiaTheme="majorEastAsia"/>
                <w:kern w:val="0"/>
                <w:sz w:val="21"/>
                <w:szCs w:val="21"/>
              </w:rPr>
              <w:t>2024YFD22009032</w:t>
            </w:r>
          </w:p>
        </w:tc>
        <w:tc>
          <w:tcPr>
            <w:tcW w:w="517" w:type="pct"/>
            <w:shd w:val="clear" w:color="auto" w:fill="auto"/>
            <w:vAlign w:val="center"/>
          </w:tcPr>
          <w:p w14:paraId="2A346274">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詹文</w:t>
            </w:r>
          </w:p>
        </w:tc>
        <w:tc>
          <w:tcPr>
            <w:tcW w:w="501" w:type="pct"/>
            <w:shd w:val="clear" w:color="auto" w:fill="auto"/>
            <w:vAlign w:val="center"/>
          </w:tcPr>
          <w:p w14:paraId="36B1CB0A">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202501</w:t>
            </w:r>
          </w:p>
        </w:tc>
        <w:tc>
          <w:tcPr>
            <w:tcW w:w="544" w:type="pct"/>
            <w:shd w:val="clear" w:color="auto" w:fill="auto"/>
            <w:vAlign w:val="center"/>
          </w:tcPr>
          <w:p w14:paraId="5DC722BC">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202412-202712</w:t>
            </w:r>
          </w:p>
        </w:tc>
        <w:tc>
          <w:tcPr>
            <w:tcW w:w="397" w:type="pct"/>
            <w:shd w:val="clear" w:color="auto" w:fill="auto"/>
            <w:vAlign w:val="center"/>
          </w:tcPr>
          <w:p w14:paraId="3B8C79E9">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highlight w:val="yellow"/>
                <w:lang w:bidi="ar"/>
              </w:rPr>
            </w:pPr>
            <w:r>
              <w:rPr>
                <w:rFonts w:hint="default" w:ascii="Times New Roman" w:hAnsi="Times New Roman" w:eastAsia="宋体" w:cs="Times New Roman"/>
                <w:color w:val="000000"/>
                <w:kern w:val="0"/>
                <w:sz w:val="21"/>
                <w:szCs w:val="21"/>
                <w:lang w:bidi="ar"/>
              </w:rPr>
              <w:t>60</w:t>
            </w:r>
          </w:p>
        </w:tc>
        <w:tc>
          <w:tcPr>
            <w:tcW w:w="410" w:type="pct"/>
            <w:vAlign w:val="center"/>
          </w:tcPr>
          <w:p w14:paraId="172DC3E7">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cs="Times New Roman" w:eastAsiaTheme="majorEastAsia"/>
                <w:kern w:val="0"/>
                <w:sz w:val="21"/>
                <w:szCs w:val="21"/>
                <w:highlight w:val="yellow"/>
                <w:lang w:val="en-US" w:eastAsia="zh-CN"/>
              </w:rPr>
            </w:pPr>
            <w:r>
              <w:rPr>
                <w:rFonts w:hint="default" w:ascii="Times New Roman" w:hAnsi="Times New Roman" w:eastAsia="宋体" w:cs="Times New Roman"/>
                <w:color w:val="000000"/>
                <w:kern w:val="0"/>
                <w:sz w:val="21"/>
                <w:szCs w:val="21"/>
                <w:lang w:val="en-US" w:eastAsia="zh-CN" w:bidi="ar"/>
              </w:rPr>
              <w:t>20</w:t>
            </w:r>
          </w:p>
        </w:tc>
      </w:tr>
      <w:tr w14:paraId="5319A3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 w:type="pct"/>
            <w:shd w:val="clear" w:color="auto" w:fill="auto"/>
            <w:vAlign w:val="center"/>
          </w:tcPr>
          <w:p w14:paraId="7A6B3A0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val="0"/>
                <w:bCs/>
                <w:kern w:val="0"/>
                <w:sz w:val="21"/>
                <w:szCs w:val="21"/>
              </w:rPr>
            </w:pPr>
            <w:r>
              <w:rPr>
                <w:rFonts w:hint="default" w:ascii="Times New Roman" w:hAnsi="Times New Roman" w:cs="Times New Roman" w:eastAsiaTheme="majorEastAsia"/>
                <w:b w:val="0"/>
                <w:bCs/>
                <w:kern w:val="0"/>
                <w:sz w:val="21"/>
                <w:szCs w:val="21"/>
              </w:rPr>
              <w:t>5</w:t>
            </w:r>
          </w:p>
        </w:tc>
        <w:tc>
          <w:tcPr>
            <w:tcW w:w="545" w:type="pct"/>
            <w:shd w:val="clear" w:color="auto" w:fill="auto"/>
            <w:vAlign w:val="center"/>
          </w:tcPr>
          <w:p w14:paraId="7E9E4734">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科技部</w:t>
            </w:r>
          </w:p>
        </w:tc>
        <w:tc>
          <w:tcPr>
            <w:tcW w:w="490" w:type="pct"/>
            <w:shd w:val="clear" w:color="auto" w:fill="auto"/>
            <w:vAlign w:val="center"/>
          </w:tcPr>
          <w:p w14:paraId="191E914D">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国家重点研发计划项目</w:t>
            </w:r>
          </w:p>
        </w:tc>
        <w:tc>
          <w:tcPr>
            <w:tcW w:w="815" w:type="pct"/>
            <w:shd w:val="clear" w:color="auto" w:fill="auto"/>
            <w:vAlign w:val="center"/>
          </w:tcPr>
          <w:p w14:paraId="44B8F0BE">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绿洲生态治理型乡村多功能森林营建与植物优化配置研究</w:t>
            </w:r>
          </w:p>
        </w:tc>
        <w:tc>
          <w:tcPr>
            <w:tcW w:w="495" w:type="pct"/>
            <w:vAlign w:val="center"/>
          </w:tcPr>
          <w:p w14:paraId="05F88497">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kern w:val="0"/>
                <w:sz w:val="21"/>
                <w:szCs w:val="21"/>
                <w:highlight w:val="yellow"/>
              </w:rPr>
            </w:pPr>
            <w:r>
              <w:rPr>
                <w:rFonts w:hint="default" w:ascii="Times New Roman" w:hAnsi="Times New Roman" w:cs="Times New Roman" w:eastAsiaTheme="majorEastAsia"/>
                <w:kern w:val="0"/>
                <w:sz w:val="21"/>
                <w:szCs w:val="21"/>
              </w:rPr>
              <w:t>2024YFD22009035</w:t>
            </w:r>
          </w:p>
        </w:tc>
        <w:tc>
          <w:tcPr>
            <w:tcW w:w="517" w:type="pct"/>
            <w:shd w:val="clear" w:color="auto" w:fill="auto"/>
            <w:vAlign w:val="center"/>
          </w:tcPr>
          <w:p w14:paraId="2A0346FC">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王薇薇</w:t>
            </w:r>
          </w:p>
        </w:tc>
        <w:tc>
          <w:tcPr>
            <w:tcW w:w="501" w:type="pct"/>
            <w:shd w:val="clear" w:color="auto" w:fill="auto"/>
            <w:vAlign w:val="center"/>
          </w:tcPr>
          <w:p w14:paraId="5AC6F8E1">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202501</w:t>
            </w:r>
          </w:p>
        </w:tc>
        <w:tc>
          <w:tcPr>
            <w:tcW w:w="544" w:type="pct"/>
            <w:shd w:val="clear" w:color="auto" w:fill="auto"/>
            <w:vAlign w:val="center"/>
          </w:tcPr>
          <w:p w14:paraId="1E46A695">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202412-202712</w:t>
            </w:r>
          </w:p>
        </w:tc>
        <w:tc>
          <w:tcPr>
            <w:tcW w:w="397" w:type="pct"/>
            <w:shd w:val="clear" w:color="auto" w:fill="auto"/>
            <w:vAlign w:val="center"/>
          </w:tcPr>
          <w:p w14:paraId="1771699D">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70</w:t>
            </w:r>
          </w:p>
        </w:tc>
        <w:tc>
          <w:tcPr>
            <w:tcW w:w="410" w:type="pct"/>
            <w:vAlign w:val="center"/>
          </w:tcPr>
          <w:p w14:paraId="74ED6A73">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25</w:t>
            </w:r>
          </w:p>
        </w:tc>
      </w:tr>
      <w:tr w14:paraId="22B2B6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 w:type="pct"/>
            <w:shd w:val="clear" w:color="auto" w:fill="auto"/>
            <w:vAlign w:val="center"/>
          </w:tcPr>
          <w:p w14:paraId="199DA5C5">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val="0"/>
                <w:bCs/>
                <w:kern w:val="0"/>
                <w:sz w:val="21"/>
                <w:szCs w:val="21"/>
              </w:rPr>
            </w:pPr>
            <w:r>
              <w:rPr>
                <w:rFonts w:hint="default" w:ascii="Times New Roman" w:hAnsi="Times New Roman" w:cs="Times New Roman" w:eastAsiaTheme="majorEastAsia"/>
                <w:b w:val="0"/>
                <w:bCs/>
                <w:kern w:val="0"/>
                <w:sz w:val="21"/>
                <w:szCs w:val="21"/>
              </w:rPr>
              <w:t>6</w:t>
            </w:r>
          </w:p>
        </w:tc>
        <w:tc>
          <w:tcPr>
            <w:tcW w:w="545" w:type="pct"/>
            <w:shd w:val="clear" w:color="auto" w:fill="auto"/>
            <w:vAlign w:val="center"/>
          </w:tcPr>
          <w:p w14:paraId="4FED2EC3">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湖南省科技厅</w:t>
            </w:r>
          </w:p>
        </w:tc>
        <w:tc>
          <w:tcPr>
            <w:tcW w:w="490" w:type="pct"/>
            <w:shd w:val="clear" w:color="auto" w:fill="auto"/>
            <w:vAlign w:val="center"/>
          </w:tcPr>
          <w:p w14:paraId="5927D185">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湖南省自然科学基金项目</w:t>
            </w:r>
          </w:p>
        </w:tc>
        <w:tc>
          <w:tcPr>
            <w:tcW w:w="815" w:type="pct"/>
            <w:shd w:val="clear" w:color="auto" w:fill="auto"/>
            <w:vAlign w:val="center"/>
          </w:tcPr>
          <w:p w14:paraId="679DBD9F">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矮牵牛FBP6基因响应高温胁迫的功能研究</w:t>
            </w:r>
          </w:p>
        </w:tc>
        <w:tc>
          <w:tcPr>
            <w:tcW w:w="495" w:type="pct"/>
            <w:vAlign w:val="center"/>
          </w:tcPr>
          <w:p w14:paraId="29806297">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kern w:val="0"/>
                <w:sz w:val="21"/>
                <w:szCs w:val="21"/>
                <w:highlight w:val="yellow"/>
              </w:rPr>
            </w:pPr>
            <w:r>
              <w:rPr>
                <w:rFonts w:hint="default" w:ascii="Times New Roman" w:hAnsi="Times New Roman" w:eastAsia="宋体" w:cs="Times New Roman"/>
                <w:color w:val="000000"/>
                <w:kern w:val="0"/>
                <w:sz w:val="21"/>
                <w:szCs w:val="21"/>
                <w:lang w:bidi="ar"/>
              </w:rPr>
              <w:t>2024JJ5627</w:t>
            </w:r>
          </w:p>
        </w:tc>
        <w:tc>
          <w:tcPr>
            <w:tcW w:w="517" w:type="pct"/>
            <w:shd w:val="clear" w:color="auto" w:fill="auto"/>
            <w:vAlign w:val="center"/>
          </w:tcPr>
          <w:p w14:paraId="3D530EED">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刘彩贤</w:t>
            </w:r>
          </w:p>
        </w:tc>
        <w:tc>
          <w:tcPr>
            <w:tcW w:w="501" w:type="pct"/>
            <w:shd w:val="clear" w:color="auto" w:fill="auto"/>
            <w:vAlign w:val="center"/>
          </w:tcPr>
          <w:p w14:paraId="36706C4B">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202403</w:t>
            </w:r>
          </w:p>
        </w:tc>
        <w:tc>
          <w:tcPr>
            <w:tcW w:w="544" w:type="pct"/>
            <w:shd w:val="clear" w:color="auto" w:fill="auto"/>
            <w:vAlign w:val="center"/>
          </w:tcPr>
          <w:p w14:paraId="11F75D0E">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202401-202612</w:t>
            </w:r>
          </w:p>
        </w:tc>
        <w:tc>
          <w:tcPr>
            <w:tcW w:w="397" w:type="pct"/>
            <w:shd w:val="clear" w:color="auto" w:fill="auto"/>
            <w:vAlign w:val="center"/>
          </w:tcPr>
          <w:p w14:paraId="59B99376">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5</w:t>
            </w:r>
          </w:p>
        </w:tc>
        <w:tc>
          <w:tcPr>
            <w:tcW w:w="410" w:type="pct"/>
            <w:vAlign w:val="center"/>
          </w:tcPr>
          <w:p w14:paraId="3F5B0A9B">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5</w:t>
            </w:r>
          </w:p>
        </w:tc>
      </w:tr>
      <w:tr w14:paraId="1A68E0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 w:type="pct"/>
            <w:shd w:val="clear" w:color="auto" w:fill="auto"/>
            <w:vAlign w:val="center"/>
          </w:tcPr>
          <w:p w14:paraId="3CFCE1BC">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val="0"/>
                <w:bCs/>
                <w:kern w:val="0"/>
                <w:sz w:val="21"/>
                <w:szCs w:val="21"/>
              </w:rPr>
            </w:pPr>
            <w:r>
              <w:rPr>
                <w:rFonts w:hint="default" w:ascii="Times New Roman" w:hAnsi="Times New Roman" w:cs="Times New Roman" w:eastAsiaTheme="majorEastAsia"/>
                <w:b w:val="0"/>
                <w:bCs/>
                <w:kern w:val="0"/>
                <w:sz w:val="21"/>
                <w:szCs w:val="21"/>
              </w:rPr>
              <w:t>7</w:t>
            </w:r>
          </w:p>
        </w:tc>
        <w:tc>
          <w:tcPr>
            <w:tcW w:w="545" w:type="pct"/>
            <w:shd w:val="clear" w:color="auto" w:fill="auto"/>
            <w:vAlign w:val="center"/>
          </w:tcPr>
          <w:p w14:paraId="4C6CCAEE">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湖南省科技厅</w:t>
            </w:r>
          </w:p>
        </w:tc>
        <w:tc>
          <w:tcPr>
            <w:tcW w:w="490" w:type="pct"/>
            <w:shd w:val="clear" w:color="auto" w:fill="auto"/>
            <w:vAlign w:val="center"/>
          </w:tcPr>
          <w:p w14:paraId="04B1D9F1">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湖南省自然科学基金项目</w:t>
            </w:r>
          </w:p>
        </w:tc>
        <w:tc>
          <w:tcPr>
            <w:tcW w:w="815" w:type="pct"/>
            <w:shd w:val="clear" w:color="auto" w:fill="auto"/>
            <w:vAlign w:val="center"/>
          </w:tcPr>
          <w:p w14:paraId="36029EFC">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CpODO1转录因子调控不同香型蜡梅品种花香形成分子机制研究</w:t>
            </w:r>
          </w:p>
        </w:tc>
        <w:tc>
          <w:tcPr>
            <w:tcW w:w="495" w:type="pct"/>
            <w:vAlign w:val="center"/>
          </w:tcPr>
          <w:p w14:paraId="1D99F860">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kern w:val="0"/>
                <w:sz w:val="21"/>
                <w:szCs w:val="21"/>
                <w:highlight w:val="yellow"/>
              </w:rPr>
            </w:pPr>
            <w:r>
              <w:rPr>
                <w:rFonts w:hint="default" w:ascii="Times New Roman" w:hAnsi="Times New Roman" w:eastAsia="宋体" w:cs="Times New Roman"/>
                <w:color w:val="000000"/>
                <w:kern w:val="0"/>
                <w:sz w:val="21"/>
                <w:szCs w:val="21"/>
                <w:lang w:bidi="ar"/>
              </w:rPr>
              <w:t>2024JJ6711</w:t>
            </w:r>
          </w:p>
        </w:tc>
        <w:tc>
          <w:tcPr>
            <w:tcW w:w="517" w:type="pct"/>
            <w:shd w:val="clear" w:color="auto" w:fill="auto"/>
            <w:vAlign w:val="center"/>
          </w:tcPr>
          <w:p w14:paraId="36DA31A6">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雍玉冰</w:t>
            </w:r>
          </w:p>
        </w:tc>
        <w:tc>
          <w:tcPr>
            <w:tcW w:w="501" w:type="pct"/>
            <w:shd w:val="clear" w:color="auto" w:fill="auto"/>
            <w:vAlign w:val="center"/>
          </w:tcPr>
          <w:p w14:paraId="6BAF7EAD">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202403</w:t>
            </w:r>
          </w:p>
        </w:tc>
        <w:tc>
          <w:tcPr>
            <w:tcW w:w="544" w:type="pct"/>
            <w:shd w:val="clear" w:color="auto" w:fill="auto"/>
            <w:vAlign w:val="center"/>
          </w:tcPr>
          <w:p w14:paraId="469B96BA">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202401-202612</w:t>
            </w:r>
          </w:p>
        </w:tc>
        <w:tc>
          <w:tcPr>
            <w:tcW w:w="397" w:type="pct"/>
            <w:shd w:val="clear" w:color="auto" w:fill="auto"/>
            <w:vAlign w:val="center"/>
          </w:tcPr>
          <w:p w14:paraId="59F23C5A">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5</w:t>
            </w:r>
          </w:p>
        </w:tc>
        <w:tc>
          <w:tcPr>
            <w:tcW w:w="410" w:type="pct"/>
            <w:vAlign w:val="center"/>
          </w:tcPr>
          <w:p w14:paraId="3D02404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5</w:t>
            </w:r>
          </w:p>
        </w:tc>
      </w:tr>
      <w:tr w14:paraId="582F46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65" w:hRule="atLeast"/>
          <w:jc w:val="center"/>
        </w:trPr>
        <w:tc>
          <w:tcPr>
            <w:tcW w:w="280" w:type="pct"/>
            <w:shd w:val="clear" w:color="auto" w:fill="auto"/>
            <w:vAlign w:val="center"/>
          </w:tcPr>
          <w:p w14:paraId="446A0609">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val="0"/>
                <w:bCs/>
                <w:kern w:val="0"/>
                <w:sz w:val="21"/>
                <w:szCs w:val="21"/>
              </w:rPr>
            </w:pPr>
            <w:r>
              <w:rPr>
                <w:rFonts w:hint="default" w:ascii="Times New Roman" w:hAnsi="Times New Roman" w:cs="Times New Roman" w:eastAsiaTheme="majorEastAsia"/>
                <w:b w:val="0"/>
                <w:bCs/>
                <w:kern w:val="0"/>
                <w:sz w:val="21"/>
                <w:szCs w:val="21"/>
              </w:rPr>
              <w:t>8</w:t>
            </w:r>
          </w:p>
        </w:tc>
        <w:tc>
          <w:tcPr>
            <w:tcW w:w="545" w:type="pct"/>
            <w:shd w:val="clear" w:color="auto" w:fill="auto"/>
            <w:vAlign w:val="center"/>
          </w:tcPr>
          <w:p w14:paraId="327650C6">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湖南省教育厅</w:t>
            </w:r>
          </w:p>
        </w:tc>
        <w:tc>
          <w:tcPr>
            <w:tcW w:w="490" w:type="pct"/>
            <w:shd w:val="clear" w:color="auto" w:fill="auto"/>
            <w:vAlign w:val="center"/>
          </w:tcPr>
          <w:p w14:paraId="00059D0A">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湖南省教育厅科学研究重点项目</w:t>
            </w:r>
          </w:p>
        </w:tc>
        <w:tc>
          <w:tcPr>
            <w:tcW w:w="815" w:type="pct"/>
            <w:shd w:val="clear" w:color="auto" w:fill="auto"/>
            <w:vAlign w:val="center"/>
          </w:tcPr>
          <w:p w14:paraId="72664BB1">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PsDREB2A-HSFA3模块参与调控牡丹响应高温胁迫的分子机制研究</w:t>
            </w:r>
          </w:p>
        </w:tc>
        <w:tc>
          <w:tcPr>
            <w:tcW w:w="495" w:type="pct"/>
            <w:vAlign w:val="center"/>
          </w:tcPr>
          <w:p w14:paraId="5972B4F2">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24A0195</w:t>
            </w:r>
          </w:p>
        </w:tc>
        <w:tc>
          <w:tcPr>
            <w:tcW w:w="517" w:type="pct"/>
            <w:shd w:val="clear" w:color="auto" w:fill="auto"/>
            <w:vAlign w:val="center"/>
          </w:tcPr>
          <w:p w14:paraId="2094820E">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张旻桓</w:t>
            </w:r>
          </w:p>
        </w:tc>
        <w:tc>
          <w:tcPr>
            <w:tcW w:w="501" w:type="pct"/>
            <w:shd w:val="clear" w:color="auto" w:fill="auto"/>
            <w:vAlign w:val="center"/>
          </w:tcPr>
          <w:p w14:paraId="7C4E1A44">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202411</w:t>
            </w:r>
          </w:p>
        </w:tc>
        <w:tc>
          <w:tcPr>
            <w:tcW w:w="544" w:type="pct"/>
            <w:shd w:val="clear" w:color="auto" w:fill="auto"/>
            <w:vAlign w:val="center"/>
          </w:tcPr>
          <w:p w14:paraId="5B5291F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202501-202712</w:t>
            </w:r>
          </w:p>
        </w:tc>
        <w:tc>
          <w:tcPr>
            <w:tcW w:w="397" w:type="pct"/>
            <w:shd w:val="clear" w:color="auto" w:fill="auto"/>
            <w:vAlign w:val="center"/>
          </w:tcPr>
          <w:p w14:paraId="09B6CD42">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8</w:t>
            </w:r>
          </w:p>
        </w:tc>
        <w:tc>
          <w:tcPr>
            <w:tcW w:w="410" w:type="pct"/>
            <w:vAlign w:val="center"/>
          </w:tcPr>
          <w:p w14:paraId="44ED219C">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0</w:t>
            </w:r>
          </w:p>
        </w:tc>
      </w:tr>
      <w:tr w14:paraId="52D8AD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 w:type="pct"/>
            <w:shd w:val="clear" w:color="auto" w:fill="auto"/>
            <w:vAlign w:val="center"/>
          </w:tcPr>
          <w:p w14:paraId="77A3DF9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val="0"/>
                <w:bCs/>
                <w:kern w:val="0"/>
                <w:sz w:val="21"/>
                <w:szCs w:val="21"/>
              </w:rPr>
            </w:pPr>
            <w:r>
              <w:rPr>
                <w:rFonts w:hint="default" w:ascii="Times New Roman" w:hAnsi="Times New Roman" w:cs="Times New Roman" w:eastAsiaTheme="majorEastAsia"/>
                <w:b w:val="0"/>
                <w:bCs/>
                <w:kern w:val="0"/>
                <w:sz w:val="21"/>
                <w:szCs w:val="21"/>
              </w:rPr>
              <w:t>9</w:t>
            </w:r>
          </w:p>
        </w:tc>
        <w:tc>
          <w:tcPr>
            <w:tcW w:w="545" w:type="pct"/>
            <w:shd w:val="clear" w:color="auto" w:fill="auto"/>
            <w:vAlign w:val="center"/>
          </w:tcPr>
          <w:p w14:paraId="64C5B97C">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湖南省林业局</w:t>
            </w:r>
          </w:p>
        </w:tc>
        <w:tc>
          <w:tcPr>
            <w:tcW w:w="490" w:type="pct"/>
            <w:shd w:val="clear" w:color="auto" w:fill="auto"/>
            <w:vAlign w:val="center"/>
          </w:tcPr>
          <w:p w14:paraId="1069C036">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湖南省林业科技创新计划项目</w:t>
            </w:r>
          </w:p>
        </w:tc>
        <w:tc>
          <w:tcPr>
            <w:tcW w:w="815" w:type="pct"/>
            <w:shd w:val="clear" w:color="auto" w:fill="auto"/>
            <w:vAlign w:val="center"/>
          </w:tcPr>
          <w:p w14:paraId="43FF9C40">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干旱胁迫下保水剂对络石等6种植物的生理及生长影响研究</w:t>
            </w:r>
          </w:p>
        </w:tc>
        <w:tc>
          <w:tcPr>
            <w:tcW w:w="495" w:type="pct"/>
            <w:vAlign w:val="center"/>
          </w:tcPr>
          <w:p w14:paraId="401A2BC6">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XLK202425</w:t>
            </w:r>
          </w:p>
        </w:tc>
        <w:tc>
          <w:tcPr>
            <w:tcW w:w="517" w:type="pct"/>
            <w:shd w:val="clear" w:color="auto" w:fill="auto"/>
            <w:vAlign w:val="center"/>
          </w:tcPr>
          <w:p w14:paraId="470E33AE">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杨柳青</w:t>
            </w:r>
          </w:p>
        </w:tc>
        <w:tc>
          <w:tcPr>
            <w:tcW w:w="501" w:type="pct"/>
            <w:shd w:val="clear" w:color="auto" w:fill="auto"/>
            <w:vAlign w:val="center"/>
          </w:tcPr>
          <w:p w14:paraId="06E17182">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202404</w:t>
            </w:r>
          </w:p>
        </w:tc>
        <w:tc>
          <w:tcPr>
            <w:tcW w:w="544" w:type="pct"/>
            <w:shd w:val="clear" w:color="auto" w:fill="auto"/>
            <w:vAlign w:val="center"/>
          </w:tcPr>
          <w:p w14:paraId="11CC2CCB">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202401-202512</w:t>
            </w:r>
          </w:p>
        </w:tc>
        <w:tc>
          <w:tcPr>
            <w:tcW w:w="397" w:type="pct"/>
            <w:shd w:val="clear" w:color="auto" w:fill="auto"/>
            <w:vAlign w:val="center"/>
          </w:tcPr>
          <w:p w14:paraId="60DF33CC">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20</w:t>
            </w:r>
          </w:p>
        </w:tc>
        <w:tc>
          <w:tcPr>
            <w:tcW w:w="410" w:type="pct"/>
            <w:vAlign w:val="center"/>
          </w:tcPr>
          <w:p w14:paraId="6DD300F5">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20</w:t>
            </w:r>
          </w:p>
        </w:tc>
      </w:tr>
      <w:tr w14:paraId="793F10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 w:type="pct"/>
            <w:shd w:val="clear" w:color="auto" w:fill="auto"/>
            <w:vAlign w:val="center"/>
          </w:tcPr>
          <w:p w14:paraId="5D8F0E4B">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rPr>
                <w:rFonts w:hint="default" w:ascii="Times New Roman" w:hAnsi="Times New Roman" w:cs="Times New Roman" w:eastAsiaTheme="majorEastAsia"/>
                <w:b w:val="0"/>
                <w:bCs/>
                <w:kern w:val="0"/>
                <w:sz w:val="21"/>
                <w:szCs w:val="21"/>
              </w:rPr>
            </w:pPr>
            <w:r>
              <w:rPr>
                <w:rFonts w:hint="default" w:ascii="Times New Roman" w:hAnsi="Times New Roman" w:cs="Times New Roman" w:eastAsiaTheme="majorEastAsia"/>
                <w:b w:val="0"/>
                <w:bCs/>
                <w:kern w:val="0"/>
                <w:sz w:val="21"/>
                <w:szCs w:val="21"/>
              </w:rPr>
              <w:t>10</w:t>
            </w:r>
          </w:p>
        </w:tc>
        <w:tc>
          <w:tcPr>
            <w:tcW w:w="545" w:type="pct"/>
            <w:shd w:val="clear" w:color="auto" w:fill="auto"/>
            <w:vAlign w:val="center"/>
          </w:tcPr>
          <w:p w14:paraId="54244822">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湖南省林业局</w:t>
            </w:r>
          </w:p>
        </w:tc>
        <w:tc>
          <w:tcPr>
            <w:tcW w:w="490" w:type="pct"/>
            <w:shd w:val="clear" w:color="auto" w:fill="auto"/>
            <w:vAlign w:val="center"/>
          </w:tcPr>
          <w:p w14:paraId="0EF027FB">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湖南省林业科技创新计划项目</w:t>
            </w:r>
          </w:p>
        </w:tc>
        <w:tc>
          <w:tcPr>
            <w:tcW w:w="815" w:type="pct"/>
            <w:shd w:val="clear" w:color="auto" w:fill="auto"/>
            <w:vAlign w:val="center"/>
          </w:tcPr>
          <w:p w14:paraId="2E3A83AE">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湖南省优质高抗性木本花卉种质创新</w:t>
            </w:r>
          </w:p>
        </w:tc>
        <w:tc>
          <w:tcPr>
            <w:tcW w:w="495" w:type="pct"/>
            <w:vAlign w:val="center"/>
          </w:tcPr>
          <w:p w14:paraId="15DA663B">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XLK202432</w:t>
            </w:r>
          </w:p>
        </w:tc>
        <w:tc>
          <w:tcPr>
            <w:tcW w:w="517" w:type="pct"/>
            <w:shd w:val="clear" w:color="auto" w:fill="auto"/>
            <w:vAlign w:val="center"/>
          </w:tcPr>
          <w:p w14:paraId="7690ABDD">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张旻桓</w:t>
            </w:r>
          </w:p>
        </w:tc>
        <w:tc>
          <w:tcPr>
            <w:tcW w:w="501" w:type="pct"/>
            <w:shd w:val="clear" w:color="auto" w:fill="auto"/>
            <w:vAlign w:val="center"/>
          </w:tcPr>
          <w:p w14:paraId="271E3399">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202404</w:t>
            </w:r>
          </w:p>
        </w:tc>
        <w:tc>
          <w:tcPr>
            <w:tcW w:w="544" w:type="pct"/>
            <w:shd w:val="clear" w:color="auto" w:fill="auto"/>
            <w:vAlign w:val="center"/>
          </w:tcPr>
          <w:p w14:paraId="4CAE473A">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202401-202512</w:t>
            </w:r>
          </w:p>
        </w:tc>
        <w:tc>
          <w:tcPr>
            <w:tcW w:w="397" w:type="pct"/>
            <w:shd w:val="clear" w:color="auto" w:fill="auto"/>
            <w:vAlign w:val="center"/>
          </w:tcPr>
          <w:p w14:paraId="54EF6352">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20</w:t>
            </w:r>
          </w:p>
        </w:tc>
        <w:tc>
          <w:tcPr>
            <w:tcW w:w="410" w:type="pct"/>
            <w:vAlign w:val="center"/>
          </w:tcPr>
          <w:p w14:paraId="7EC2262A">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bottom"/>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20</w:t>
            </w:r>
          </w:p>
        </w:tc>
      </w:tr>
    </w:tbl>
    <w:p w14:paraId="24DD00AC">
      <w:pPr>
        <w:keepNext w:val="0"/>
        <w:keepLines w:val="0"/>
        <w:pageBreakBefore w:val="0"/>
        <w:widowControl w:val="0"/>
        <w:kinsoku/>
        <w:wordWrap/>
        <w:overflowPunct w:val="0"/>
        <w:topLinePunct w:val="0"/>
        <w:autoSpaceDE/>
        <w:autoSpaceDN/>
        <w:bidi w:val="0"/>
        <w:adjustRightInd w:val="0"/>
        <w:snapToGrid/>
        <w:spacing w:line="360" w:lineRule="auto"/>
        <w:ind w:left="0" w:leftChars="0" w:right="0" w:rightChars="0" w:firstLine="480" w:firstLineChars="200"/>
        <w:jc w:val="left"/>
        <w:textAlignment w:val="auto"/>
        <w:outlineLvl w:val="2"/>
        <w:rPr>
          <w:rStyle w:val="27"/>
          <w:rFonts w:hint="default" w:ascii="Times New Roman" w:hAnsi="Times New Roman" w:eastAsia="黑体" w:cs="Times New Roman"/>
          <w:b w:val="0"/>
          <w:bCs/>
          <w:sz w:val="24"/>
          <w:szCs w:val="24"/>
          <w:lang w:val="en-US" w:eastAsia="zh-CN"/>
        </w:rPr>
      </w:pPr>
      <w:r>
        <w:rPr>
          <w:rStyle w:val="27"/>
          <w:rFonts w:hint="default" w:ascii="Times New Roman" w:hAnsi="Times New Roman" w:eastAsia="黑体" w:cs="Times New Roman"/>
          <w:b w:val="0"/>
          <w:bCs/>
          <w:sz w:val="24"/>
          <w:szCs w:val="24"/>
          <w:lang w:val="en-US" w:eastAsia="zh-CN"/>
        </w:rPr>
        <w:t>4.科研平台情况</w:t>
      </w:r>
    </w:p>
    <w:p w14:paraId="6754D53F">
      <w:pPr>
        <w:keepNext w:val="0"/>
        <w:keepLines w:val="0"/>
        <w:pageBreakBefore w:val="0"/>
        <w:widowControl w:val="0"/>
        <w:kinsoku/>
        <w:wordWrap/>
        <w:overflowPunct w:val="0"/>
        <w:topLinePunct w:val="0"/>
        <w:autoSpaceDE/>
        <w:autoSpaceDN/>
        <w:bidi w:val="0"/>
        <w:ind w:left="0" w:leftChars="0" w:right="0" w:rightChars="0" w:firstLine="480" w:firstLineChars="200"/>
        <w:rPr>
          <w:rFonts w:hint="eastAsia" w:ascii="宋体" w:hAnsi="宋体" w:eastAsia="宋体" w:cs="宋体"/>
          <w:color w:val="000000"/>
          <w:kern w:val="0"/>
          <w:sz w:val="24"/>
          <w:szCs w:val="24"/>
          <w:lang w:bidi="ar"/>
        </w:rPr>
      </w:pPr>
      <w:r>
        <w:rPr>
          <w:rFonts w:hint="default" w:ascii="Times New Roman" w:hAnsi="Times New Roman" w:eastAsia="宋体" w:cs="Times New Roman"/>
          <w:color w:val="000000"/>
          <w:kern w:val="0"/>
          <w:sz w:val="24"/>
          <w:szCs w:val="24"/>
          <w:lang w:bidi="ar"/>
        </w:rPr>
        <w:t>目前，学位点拥有国家林业与草原局风景园林长期科研基地1个，为国家</w:t>
      </w:r>
      <w:r>
        <w:rPr>
          <w:rFonts w:hint="eastAsia" w:ascii="宋体" w:hAnsi="宋体" w:eastAsia="宋体" w:cs="宋体"/>
          <w:color w:val="000000"/>
          <w:kern w:val="0"/>
          <w:sz w:val="24"/>
          <w:szCs w:val="24"/>
          <w:lang w:bidi="ar"/>
        </w:rPr>
        <w:t>花卉产业技术创新战略联盟单位、美丽乡村与乡村振兴创新联盟单位、湖南省风景园林学会理事长单位、中国风景园林学会教育专业委员会副主任委员单位、湖南省花卉协会副会长单位，“全国城市园林行业产教融合共同体”理事长单位。同时，共享森林植物实验教学中心、数字洞庭湖南省重点实验室、国家公园工程技术研究中心、湖南省环境资源植物开发与利用工程技术研究中心等科研平台。</w:t>
      </w:r>
    </w:p>
    <w:p w14:paraId="6403CDBB">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jc w:val="center"/>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表</w:t>
      </w:r>
      <w:r>
        <w:rPr>
          <w:rFonts w:hint="default" w:ascii="Times New Roman" w:hAnsi="Times New Roman" w:eastAsia="宋体" w:cs="Times New Roman"/>
          <w:b/>
          <w:color w:val="000000"/>
          <w:szCs w:val="21"/>
          <w:lang w:val="en-US" w:eastAsia="zh-CN"/>
        </w:rPr>
        <w:t>12</w:t>
      </w:r>
      <w:r>
        <w:rPr>
          <w:rFonts w:hint="eastAsia" w:ascii="Times New Roman" w:hAnsi="Times New Roman" w:eastAsia="宋体" w:cs="Times New Roman"/>
          <w:b/>
          <w:color w:val="000000"/>
          <w:szCs w:val="21"/>
          <w:lang w:val="en-US" w:eastAsia="zh-CN"/>
        </w:rPr>
        <w:t xml:space="preserve">  </w:t>
      </w:r>
      <w:r>
        <w:rPr>
          <w:rFonts w:hint="default" w:ascii="Times New Roman" w:hAnsi="Times New Roman" w:eastAsia="宋体" w:cs="Times New Roman"/>
          <w:b/>
          <w:color w:val="000000"/>
          <w:szCs w:val="21"/>
        </w:rPr>
        <w:t>科研平台情况</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
        <w:gridCol w:w="2576"/>
        <w:gridCol w:w="3380"/>
        <w:gridCol w:w="1081"/>
        <w:gridCol w:w="1134"/>
      </w:tblGrid>
      <w:tr w14:paraId="58F33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 w:type="pct"/>
            <w:vAlign w:val="center"/>
          </w:tcPr>
          <w:p w14:paraId="6064BA71">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auto"/>
              <w:rPr>
                <w:rFonts w:ascii="Times New Roman" w:hAnsi="Times New Roman" w:cs="Times New Roman"/>
                <w:b/>
                <w:color w:val="1E1C11" w:themeColor="background2" w:themeShade="1A"/>
                <w:sz w:val="21"/>
                <w:szCs w:val="21"/>
              </w:rPr>
            </w:pPr>
            <w:r>
              <w:rPr>
                <w:rFonts w:ascii="Times New Roman" w:hAnsi="Times New Roman" w:cs="Times New Roman"/>
                <w:b/>
                <w:color w:val="1E1C11" w:themeColor="background2" w:themeShade="1A"/>
                <w:sz w:val="21"/>
                <w:szCs w:val="21"/>
              </w:rPr>
              <w:t>序号</w:t>
            </w:r>
          </w:p>
        </w:tc>
        <w:tc>
          <w:tcPr>
            <w:tcW w:w="1490" w:type="pct"/>
            <w:vAlign w:val="center"/>
          </w:tcPr>
          <w:p w14:paraId="5C4DA5BB">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auto"/>
              <w:rPr>
                <w:rFonts w:ascii="Times New Roman" w:hAnsi="Times New Roman" w:cs="Times New Roman"/>
                <w:b/>
                <w:bCs/>
                <w:color w:val="1E1C11" w:themeColor="background2" w:themeShade="1A"/>
                <w:sz w:val="21"/>
                <w:szCs w:val="21"/>
              </w:rPr>
            </w:pPr>
            <w:r>
              <w:rPr>
                <w:rFonts w:ascii="Times New Roman" w:hAnsi="Times New Roman" w:cs="Times New Roman"/>
                <w:b/>
                <w:color w:val="1E1C11" w:themeColor="background2" w:themeShade="1A"/>
                <w:sz w:val="21"/>
                <w:szCs w:val="21"/>
              </w:rPr>
              <w:t>平台类别</w:t>
            </w:r>
          </w:p>
        </w:tc>
        <w:tc>
          <w:tcPr>
            <w:tcW w:w="1955" w:type="pct"/>
            <w:vAlign w:val="center"/>
          </w:tcPr>
          <w:p w14:paraId="2391E928">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auto"/>
              <w:rPr>
                <w:rFonts w:ascii="Times New Roman" w:hAnsi="Times New Roman" w:eastAsia="楷体_GB2312" w:cs="Times New Roman"/>
                <w:color w:val="1E1C11" w:themeColor="background2" w:themeShade="1A"/>
                <w:sz w:val="21"/>
                <w:szCs w:val="21"/>
              </w:rPr>
            </w:pPr>
            <w:r>
              <w:rPr>
                <w:rFonts w:ascii="Times New Roman" w:hAnsi="Times New Roman" w:cs="Times New Roman"/>
                <w:b/>
                <w:color w:val="1E1C11" w:themeColor="background2" w:themeShade="1A"/>
                <w:sz w:val="21"/>
                <w:szCs w:val="21"/>
              </w:rPr>
              <w:t>平台名称</w:t>
            </w:r>
          </w:p>
        </w:tc>
        <w:tc>
          <w:tcPr>
            <w:tcW w:w="625" w:type="pct"/>
            <w:vAlign w:val="center"/>
          </w:tcPr>
          <w:p w14:paraId="1D732894">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auto"/>
              <w:rPr>
                <w:rFonts w:ascii="Times New Roman" w:hAnsi="Times New Roman" w:cs="Times New Roman"/>
                <w:b/>
                <w:color w:val="1E1C11" w:themeColor="background2" w:themeShade="1A"/>
                <w:sz w:val="21"/>
                <w:szCs w:val="21"/>
              </w:rPr>
            </w:pPr>
            <w:r>
              <w:rPr>
                <w:rFonts w:ascii="Times New Roman" w:hAnsi="Times New Roman" w:cs="Times New Roman"/>
                <w:b/>
                <w:color w:val="1E1C11" w:themeColor="background2" w:themeShade="1A"/>
                <w:sz w:val="21"/>
                <w:szCs w:val="21"/>
              </w:rPr>
              <w:t>批准年度</w:t>
            </w:r>
          </w:p>
        </w:tc>
        <w:tc>
          <w:tcPr>
            <w:tcW w:w="656" w:type="pct"/>
            <w:vAlign w:val="center"/>
          </w:tcPr>
          <w:p w14:paraId="672E9114">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center"/>
              <w:textAlignment w:val="auto"/>
              <w:rPr>
                <w:rFonts w:ascii="Times New Roman" w:hAnsi="Times New Roman" w:cs="Times New Roman"/>
                <w:b/>
                <w:color w:val="1E1C11" w:themeColor="background2" w:themeShade="1A"/>
                <w:sz w:val="21"/>
                <w:szCs w:val="21"/>
              </w:rPr>
            </w:pPr>
            <w:r>
              <w:rPr>
                <w:rFonts w:ascii="Times New Roman" w:hAnsi="Times New Roman" w:cs="Times New Roman"/>
                <w:b/>
                <w:color w:val="1E1C11" w:themeColor="background2" w:themeShade="1A"/>
                <w:sz w:val="21"/>
                <w:szCs w:val="21"/>
              </w:rPr>
              <w:t>评估情况</w:t>
            </w:r>
          </w:p>
        </w:tc>
      </w:tr>
      <w:tr w14:paraId="26074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270" w:type="pct"/>
            <w:vAlign w:val="center"/>
          </w:tcPr>
          <w:p w14:paraId="5FAD7F87">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1</w:t>
            </w:r>
          </w:p>
        </w:tc>
        <w:tc>
          <w:tcPr>
            <w:tcW w:w="1490" w:type="pct"/>
            <w:vAlign w:val="center"/>
          </w:tcPr>
          <w:p w14:paraId="5608BF45">
            <w:pPr>
              <w:keepNext w:val="0"/>
              <w:keepLines w:val="0"/>
              <w:pageBreakBefore w:val="0"/>
              <w:widowControl w:val="0"/>
              <w:kinsoku/>
              <w:wordWrap/>
              <w:overflowPunct w:val="0"/>
              <w:topLinePunct w:val="0"/>
              <w:autoSpaceDE/>
              <w:autoSpaceDN/>
              <w:bidi w:val="0"/>
              <w:adjustRightInd w:val="0"/>
              <w:ind w:left="0" w:leftChars="0" w:right="0" w:rightChars="0"/>
              <w:rPr>
                <w:rFonts w:ascii="Times New Roman" w:hAnsi="Times New Roman" w:cs="Times New Roman" w:eastAsiaTheme="majorEastAsia"/>
                <w:b/>
                <w:bCs/>
                <w:sz w:val="21"/>
                <w:szCs w:val="21"/>
              </w:rPr>
            </w:pPr>
            <w:r>
              <w:rPr>
                <w:rFonts w:ascii="Times New Roman" w:hAnsi="Times New Roman" w:cs="Times New Roman"/>
                <w:bCs/>
                <w:sz w:val="21"/>
                <w:szCs w:val="21"/>
              </w:rPr>
              <w:t>国家级科研基地</w:t>
            </w:r>
          </w:p>
        </w:tc>
        <w:tc>
          <w:tcPr>
            <w:tcW w:w="1955" w:type="pct"/>
            <w:vAlign w:val="center"/>
          </w:tcPr>
          <w:p w14:paraId="7C234F32">
            <w:pPr>
              <w:keepNext w:val="0"/>
              <w:keepLines w:val="0"/>
              <w:pageBreakBefore w:val="0"/>
              <w:widowControl w:val="0"/>
              <w:kinsoku/>
              <w:wordWrap/>
              <w:overflowPunct w:val="0"/>
              <w:topLinePunct w:val="0"/>
              <w:autoSpaceDE/>
              <w:autoSpaceDN/>
              <w:bidi w:val="0"/>
              <w:spacing w:line="240" w:lineRule="exact"/>
              <w:ind w:left="0" w:leftChars="0" w:right="0" w:rightChars="0"/>
              <w:rPr>
                <w:rFonts w:ascii="Times New Roman" w:hAnsi="Times New Roman" w:cs="Times New Roman"/>
                <w:sz w:val="21"/>
                <w:szCs w:val="21"/>
              </w:rPr>
            </w:pPr>
            <w:r>
              <w:rPr>
                <w:rFonts w:ascii="Times New Roman" w:hAnsi="Times New Roman" w:cs="Times New Roman"/>
                <w:sz w:val="21"/>
                <w:szCs w:val="21"/>
              </w:rPr>
              <w:t>南宁青秀山风景园林国家长期</w:t>
            </w:r>
          </w:p>
          <w:p w14:paraId="2AE628A8">
            <w:pPr>
              <w:keepNext w:val="0"/>
              <w:keepLines w:val="0"/>
              <w:pageBreakBefore w:val="0"/>
              <w:widowControl w:val="0"/>
              <w:kinsoku/>
              <w:wordWrap/>
              <w:overflowPunct w:val="0"/>
              <w:topLinePunct w:val="0"/>
              <w:autoSpaceDE/>
              <w:autoSpaceDN/>
              <w:bidi w:val="0"/>
              <w:spacing w:line="240" w:lineRule="exact"/>
              <w:ind w:left="0" w:leftChars="0" w:right="0" w:rightChars="0"/>
              <w:rPr>
                <w:rFonts w:ascii="Times New Roman" w:hAnsi="Times New Roman" w:cs="Times New Roman"/>
                <w:sz w:val="21"/>
                <w:szCs w:val="21"/>
              </w:rPr>
            </w:pPr>
            <w:r>
              <w:rPr>
                <w:rFonts w:ascii="Times New Roman" w:hAnsi="Times New Roman" w:cs="Times New Roman"/>
                <w:sz w:val="21"/>
                <w:szCs w:val="21"/>
              </w:rPr>
              <w:t>科研基地</w:t>
            </w:r>
          </w:p>
        </w:tc>
        <w:tc>
          <w:tcPr>
            <w:tcW w:w="625" w:type="pct"/>
            <w:vAlign w:val="center"/>
          </w:tcPr>
          <w:p w14:paraId="70B9962F">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2021</w:t>
            </w:r>
          </w:p>
        </w:tc>
        <w:tc>
          <w:tcPr>
            <w:tcW w:w="656" w:type="pct"/>
            <w:vAlign w:val="center"/>
          </w:tcPr>
          <w:p w14:paraId="50E44357">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color w:val="000000"/>
                <w:sz w:val="21"/>
                <w:szCs w:val="21"/>
              </w:rPr>
              <w:t>未评估</w:t>
            </w:r>
          </w:p>
        </w:tc>
      </w:tr>
      <w:tr w14:paraId="04491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 w:type="pct"/>
            <w:vAlign w:val="center"/>
          </w:tcPr>
          <w:p w14:paraId="749D4D28">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2</w:t>
            </w:r>
          </w:p>
        </w:tc>
        <w:tc>
          <w:tcPr>
            <w:tcW w:w="1490" w:type="pct"/>
            <w:vAlign w:val="center"/>
          </w:tcPr>
          <w:p w14:paraId="57AC47AA">
            <w:pPr>
              <w:keepNext w:val="0"/>
              <w:keepLines w:val="0"/>
              <w:pageBreakBefore w:val="0"/>
              <w:widowControl w:val="0"/>
              <w:kinsoku/>
              <w:wordWrap/>
              <w:overflowPunct w:val="0"/>
              <w:topLinePunct w:val="0"/>
              <w:autoSpaceDE/>
              <w:autoSpaceDN/>
              <w:bidi w:val="0"/>
              <w:ind w:left="0" w:leftChars="0" w:right="0" w:rightChars="0"/>
              <w:rPr>
                <w:rFonts w:ascii="Times New Roman" w:hAnsi="Times New Roman" w:cs="Times New Roman" w:eastAsiaTheme="majorEastAsia"/>
                <w:b/>
                <w:bCs/>
                <w:sz w:val="21"/>
                <w:szCs w:val="21"/>
              </w:rPr>
            </w:pPr>
            <w:r>
              <w:rPr>
                <w:rFonts w:ascii="Times New Roman" w:hAnsi="Times New Roman" w:cs="Times New Roman"/>
                <w:sz w:val="21"/>
                <w:szCs w:val="21"/>
              </w:rPr>
              <w:t>国家级实验教学示范中心</w:t>
            </w:r>
          </w:p>
        </w:tc>
        <w:tc>
          <w:tcPr>
            <w:tcW w:w="1955" w:type="pct"/>
            <w:vAlign w:val="center"/>
          </w:tcPr>
          <w:p w14:paraId="3F986491">
            <w:pPr>
              <w:keepNext w:val="0"/>
              <w:keepLines w:val="0"/>
              <w:pageBreakBefore w:val="0"/>
              <w:widowControl w:val="0"/>
              <w:kinsoku/>
              <w:wordWrap/>
              <w:overflowPunct w:val="0"/>
              <w:topLinePunct w:val="0"/>
              <w:autoSpaceDE/>
              <w:autoSpaceDN/>
              <w:bidi w:val="0"/>
              <w:spacing w:line="240" w:lineRule="exact"/>
              <w:ind w:left="0" w:leftChars="0" w:right="0" w:rightChars="0"/>
              <w:rPr>
                <w:rFonts w:ascii="Times New Roman" w:hAnsi="Times New Roman" w:cs="Times New Roman"/>
                <w:sz w:val="21"/>
                <w:szCs w:val="21"/>
              </w:rPr>
            </w:pPr>
            <w:r>
              <w:rPr>
                <w:rFonts w:ascii="Times New Roman" w:hAnsi="Times New Roman" w:cs="Times New Roman"/>
                <w:sz w:val="21"/>
                <w:szCs w:val="21"/>
              </w:rPr>
              <w:t>森林植物实验教学中心</w:t>
            </w:r>
          </w:p>
        </w:tc>
        <w:tc>
          <w:tcPr>
            <w:tcW w:w="625" w:type="pct"/>
            <w:vAlign w:val="center"/>
          </w:tcPr>
          <w:p w14:paraId="5213A20A">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2007</w:t>
            </w:r>
          </w:p>
        </w:tc>
        <w:tc>
          <w:tcPr>
            <w:tcW w:w="656" w:type="pct"/>
            <w:vAlign w:val="center"/>
          </w:tcPr>
          <w:p w14:paraId="11C4C0C8">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color w:val="000000"/>
                <w:sz w:val="21"/>
                <w:szCs w:val="21"/>
              </w:rPr>
              <w:t>优秀</w:t>
            </w:r>
          </w:p>
        </w:tc>
      </w:tr>
      <w:tr w14:paraId="73029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270" w:type="pct"/>
            <w:vAlign w:val="center"/>
          </w:tcPr>
          <w:p w14:paraId="609867A9">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3</w:t>
            </w:r>
          </w:p>
        </w:tc>
        <w:tc>
          <w:tcPr>
            <w:tcW w:w="1490" w:type="pct"/>
            <w:vAlign w:val="center"/>
          </w:tcPr>
          <w:p w14:paraId="3C4D10EF">
            <w:pPr>
              <w:keepNext w:val="0"/>
              <w:keepLines w:val="0"/>
              <w:pageBreakBefore w:val="0"/>
              <w:widowControl w:val="0"/>
              <w:kinsoku/>
              <w:wordWrap/>
              <w:overflowPunct w:val="0"/>
              <w:topLinePunct w:val="0"/>
              <w:autoSpaceDE/>
              <w:autoSpaceDN/>
              <w:bidi w:val="0"/>
              <w:adjustRightInd w:val="0"/>
              <w:ind w:left="0" w:leftChars="0" w:right="0" w:rightChars="0"/>
              <w:rPr>
                <w:rFonts w:ascii="Times New Roman" w:hAnsi="Times New Roman" w:cs="Times New Roman" w:eastAsiaTheme="majorEastAsia"/>
                <w:b/>
                <w:bCs/>
                <w:sz w:val="21"/>
                <w:szCs w:val="21"/>
              </w:rPr>
            </w:pPr>
            <w:r>
              <w:rPr>
                <w:rFonts w:ascii="Times New Roman" w:hAnsi="Times New Roman" w:cs="Times New Roman"/>
                <w:bCs/>
                <w:sz w:val="21"/>
                <w:szCs w:val="21"/>
              </w:rPr>
              <w:t>省部级工程中心</w:t>
            </w:r>
          </w:p>
        </w:tc>
        <w:tc>
          <w:tcPr>
            <w:tcW w:w="1955" w:type="pct"/>
            <w:vAlign w:val="center"/>
          </w:tcPr>
          <w:p w14:paraId="5FE0FE05">
            <w:pPr>
              <w:keepNext w:val="0"/>
              <w:keepLines w:val="0"/>
              <w:pageBreakBefore w:val="0"/>
              <w:widowControl w:val="0"/>
              <w:kinsoku/>
              <w:wordWrap/>
              <w:overflowPunct w:val="0"/>
              <w:topLinePunct w:val="0"/>
              <w:autoSpaceDE/>
              <w:autoSpaceDN/>
              <w:bidi w:val="0"/>
              <w:spacing w:line="240" w:lineRule="exact"/>
              <w:ind w:left="0" w:leftChars="0" w:right="0" w:rightChars="0"/>
              <w:rPr>
                <w:rFonts w:ascii="Times New Roman" w:hAnsi="Times New Roman" w:cs="Times New Roman"/>
                <w:sz w:val="21"/>
                <w:szCs w:val="21"/>
              </w:rPr>
            </w:pPr>
            <w:r>
              <w:rPr>
                <w:rFonts w:ascii="Times New Roman" w:hAnsi="Times New Roman" w:cs="Times New Roman"/>
                <w:sz w:val="21"/>
                <w:szCs w:val="21"/>
              </w:rPr>
              <w:t>湖南省自然保护地风景资源</w:t>
            </w:r>
          </w:p>
          <w:p w14:paraId="782B789E">
            <w:pPr>
              <w:keepNext w:val="0"/>
              <w:keepLines w:val="0"/>
              <w:pageBreakBefore w:val="0"/>
              <w:widowControl w:val="0"/>
              <w:kinsoku/>
              <w:wordWrap/>
              <w:overflowPunct w:val="0"/>
              <w:topLinePunct w:val="0"/>
              <w:autoSpaceDE/>
              <w:autoSpaceDN/>
              <w:bidi w:val="0"/>
              <w:spacing w:line="240" w:lineRule="exact"/>
              <w:ind w:left="0" w:leftChars="0" w:right="0" w:rightChars="0"/>
              <w:rPr>
                <w:rFonts w:ascii="Times New Roman" w:hAnsi="Times New Roman" w:cs="Times New Roman"/>
                <w:sz w:val="21"/>
                <w:szCs w:val="21"/>
              </w:rPr>
            </w:pPr>
            <w:r>
              <w:rPr>
                <w:rFonts w:ascii="Times New Roman" w:hAnsi="Times New Roman" w:cs="Times New Roman"/>
                <w:sz w:val="21"/>
                <w:szCs w:val="21"/>
              </w:rPr>
              <w:t>大数据工程技术研究中心</w:t>
            </w:r>
          </w:p>
        </w:tc>
        <w:tc>
          <w:tcPr>
            <w:tcW w:w="625" w:type="pct"/>
            <w:vAlign w:val="center"/>
          </w:tcPr>
          <w:p w14:paraId="5F4E92E1">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2019</w:t>
            </w:r>
          </w:p>
        </w:tc>
        <w:tc>
          <w:tcPr>
            <w:tcW w:w="656" w:type="pct"/>
            <w:vAlign w:val="center"/>
          </w:tcPr>
          <w:p w14:paraId="2F7288AC">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color w:val="000000"/>
                <w:sz w:val="21"/>
                <w:szCs w:val="21"/>
              </w:rPr>
              <w:t>合格</w:t>
            </w:r>
          </w:p>
        </w:tc>
      </w:tr>
      <w:tr w14:paraId="7C728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270" w:type="pct"/>
            <w:vAlign w:val="center"/>
          </w:tcPr>
          <w:p w14:paraId="5150A484">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4</w:t>
            </w:r>
          </w:p>
        </w:tc>
        <w:tc>
          <w:tcPr>
            <w:tcW w:w="1490" w:type="pct"/>
            <w:vAlign w:val="center"/>
          </w:tcPr>
          <w:p w14:paraId="3DB3EF9E">
            <w:pPr>
              <w:keepNext w:val="0"/>
              <w:keepLines w:val="0"/>
              <w:pageBreakBefore w:val="0"/>
              <w:widowControl w:val="0"/>
              <w:kinsoku/>
              <w:wordWrap/>
              <w:overflowPunct w:val="0"/>
              <w:topLinePunct w:val="0"/>
              <w:autoSpaceDE/>
              <w:autoSpaceDN/>
              <w:bidi w:val="0"/>
              <w:spacing w:line="240" w:lineRule="exact"/>
              <w:ind w:left="0" w:leftChars="0" w:right="0" w:rightChars="0"/>
              <w:rPr>
                <w:rFonts w:ascii="Times New Roman" w:hAnsi="Times New Roman" w:cs="Times New Roman" w:eastAsiaTheme="majorEastAsia"/>
                <w:b/>
                <w:bCs/>
                <w:sz w:val="21"/>
                <w:szCs w:val="21"/>
              </w:rPr>
            </w:pPr>
            <w:r>
              <w:rPr>
                <w:rFonts w:ascii="Times New Roman" w:hAnsi="Times New Roman" w:cs="Times New Roman"/>
                <w:sz w:val="21"/>
                <w:szCs w:val="21"/>
              </w:rPr>
              <w:t>省部级科技创新平台与人才专项重点实验室</w:t>
            </w:r>
          </w:p>
        </w:tc>
        <w:tc>
          <w:tcPr>
            <w:tcW w:w="1955" w:type="pct"/>
            <w:vAlign w:val="center"/>
          </w:tcPr>
          <w:p w14:paraId="2C7F582E">
            <w:pPr>
              <w:keepNext w:val="0"/>
              <w:keepLines w:val="0"/>
              <w:pageBreakBefore w:val="0"/>
              <w:widowControl w:val="0"/>
              <w:kinsoku/>
              <w:wordWrap/>
              <w:overflowPunct w:val="0"/>
              <w:topLinePunct w:val="0"/>
              <w:autoSpaceDE/>
              <w:autoSpaceDN/>
              <w:bidi w:val="0"/>
              <w:spacing w:line="240" w:lineRule="exact"/>
              <w:ind w:left="0" w:leftChars="0" w:right="0" w:rightChars="0"/>
              <w:rPr>
                <w:rFonts w:ascii="Times New Roman" w:hAnsi="Times New Roman" w:cs="Times New Roman"/>
                <w:sz w:val="21"/>
                <w:szCs w:val="21"/>
              </w:rPr>
            </w:pPr>
            <w:r>
              <w:rPr>
                <w:rFonts w:ascii="Times New Roman" w:hAnsi="Times New Roman" w:cs="Times New Roman"/>
                <w:sz w:val="21"/>
                <w:szCs w:val="21"/>
              </w:rPr>
              <w:t>数字洞庭湖南省重点实验室</w:t>
            </w:r>
          </w:p>
        </w:tc>
        <w:tc>
          <w:tcPr>
            <w:tcW w:w="625" w:type="pct"/>
            <w:vAlign w:val="center"/>
          </w:tcPr>
          <w:p w14:paraId="7902B168">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2018</w:t>
            </w:r>
          </w:p>
        </w:tc>
        <w:tc>
          <w:tcPr>
            <w:tcW w:w="656" w:type="pct"/>
            <w:vAlign w:val="center"/>
          </w:tcPr>
          <w:p w14:paraId="0AC32D23">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color w:val="000000"/>
                <w:sz w:val="21"/>
                <w:szCs w:val="21"/>
              </w:rPr>
              <w:t>合格</w:t>
            </w:r>
          </w:p>
        </w:tc>
      </w:tr>
      <w:tr w14:paraId="46D4A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 w:type="pct"/>
            <w:vAlign w:val="center"/>
          </w:tcPr>
          <w:p w14:paraId="310FD65F">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5</w:t>
            </w:r>
          </w:p>
        </w:tc>
        <w:tc>
          <w:tcPr>
            <w:tcW w:w="1490" w:type="pct"/>
            <w:vAlign w:val="center"/>
          </w:tcPr>
          <w:p w14:paraId="257E925C">
            <w:pPr>
              <w:keepNext w:val="0"/>
              <w:keepLines w:val="0"/>
              <w:pageBreakBefore w:val="0"/>
              <w:widowControl w:val="0"/>
              <w:kinsoku/>
              <w:wordWrap/>
              <w:overflowPunct w:val="0"/>
              <w:topLinePunct w:val="0"/>
              <w:autoSpaceDE/>
              <w:autoSpaceDN/>
              <w:bidi w:val="0"/>
              <w:ind w:left="0" w:leftChars="0" w:right="0" w:rightChars="0"/>
              <w:rPr>
                <w:rFonts w:ascii="Times New Roman" w:hAnsi="Times New Roman" w:cs="Times New Roman" w:eastAsiaTheme="majorEastAsia"/>
                <w:b/>
                <w:bCs/>
                <w:sz w:val="21"/>
                <w:szCs w:val="21"/>
              </w:rPr>
            </w:pPr>
            <w:r>
              <w:rPr>
                <w:rFonts w:ascii="Times New Roman" w:hAnsi="Times New Roman" w:cs="Times New Roman"/>
                <w:sz w:val="21"/>
                <w:szCs w:val="21"/>
              </w:rPr>
              <w:t>省部级工程中心</w:t>
            </w:r>
          </w:p>
        </w:tc>
        <w:tc>
          <w:tcPr>
            <w:tcW w:w="1955" w:type="pct"/>
            <w:vAlign w:val="center"/>
          </w:tcPr>
          <w:p w14:paraId="11906225">
            <w:pPr>
              <w:keepNext w:val="0"/>
              <w:keepLines w:val="0"/>
              <w:pageBreakBefore w:val="0"/>
              <w:widowControl w:val="0"/>
              <w:kinsoku/>
              <w:wordWrap/>
              <w:overflowPunct w:val="0"/>
              <w:topLinePunct w:val="0"/>
              <w:autoSpaceDE/>
              <w:autoSpaceDN/>
              <w:bidi w:val="0"/>
              <w:spacing w:line="240" w:lineRule="exact"/>
              <w:ind w:left="0" w:leftChars="0" w:right="0" w:rightChars="0"/>
              <w:rPr>
                <w:rFonts w:ascii="Times New Roman" w:hAnsi="Times New Roman" w:cs="Times New Roman"/>
                <w:sz w:val="21"/>
                <w:szCs w:val="21"/>
              </w:rPr>
            </w:pPr>
            <w:r>
              <w:rPr>
                <w:rFonts w:ascii="Times New Roman" w:hAnsi="Times New Roman" w:cs="Times New Roman"/>
                <w:sz w:val="21"/>
                <w:szCs w:val="21"/>
              </w:rPr>
              <w:t>国家公园工程技术研究中心</w:t>
            </w:r>
          </w:p>
        </w:tc>
        <w:tc>
          <w:tcPr>
            <w:tcW w:w="625" w:type="pct"/>
            <w:vAlign w:val="center"/>
          </w:tcPr>
          <w:p w14:paraId="05E181EA">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2018</w:t>
            </w:r>
          </w:p>
        </w:tc>
        <w:tc>
          <w:tcPr>
            <w:tcW w:w="656" w:type="pct"/>
            <w:vAlign w:val="center"/>
          </w:tcPr>
          <w:p w14:paraId="3182002C">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color w:val="000000"/>
                <w:sz w:val="21"/>
                <w:szCs w:val="21"/>
              </w:rPr>
              <w:t>合格</w:t>
            </w:r>
          </w:p>
        </w:tc>
      </w:tr>
      <w:tr w14:paraId="4CEB9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70" w:type="pct"/>
            <w:vAlign w:val="center"/>
          </w:tcPr>
          <w:p w14:paraId="47D28280">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6</w:t>
            </w:r>
          </w:p>
        </w:tc>
        <w:tc>
          <w:tcPr>
            <w:tcW w:w="1490" w:type="pct"/>
            <w:vAlign w:val="center"/>
          </w:tcPr>
          <w:p w14:paraId="7B04F79C">
            <w:pPr>
              <w:keepNext w:val="0"/>
              <w:keepLines w:val="0"/>
              <w:pageBreakBefore w:val="0"/>
              <w:widowControl w:val="0"/>
              <w:kinsoku/>
              <w:wordWrap/>
              <w:overflowPunct w:val="0"/>
              <w:topLinePunct w:val="0"/>
              <w:autoSpaceDE/>
              <w:autoSpaceDN/>
              <w:bidi w:val="0"/>
              <w:ind w:left="0" w:leftChars="0" w:right="0" w:rightChars="0"/>
              <w:rPr>
                <w:rFonts w:ascii="Times New Roman" w:hAnsi="Times New Roman" w:cs="Times New Roman" w:eastAsiaTheme="majorEastAsia"/>
                <w:b/>
                <w:bCs/>
                <w:sz w:val="21"/>
                <w:szCs w:val="21"/>
              </w:rPr>
            </w:pPr>
            <w:r>
              <w:rPr>
                <w:rFonts w:ascii="Times New Roman" w:hAnsi="Times New Roman" w:cs="Times New Roman"/>
                <w:sz w:val="21"/>
                <w:szCs w:val="21"/>
              </w:rPr>
              <w:t>省部级工程中心</w:t>
            </w:r>
          </w:p>
        </w:tc>
        <w:tc>
          <w:tcPr>
            <w:tcW w:w="1955" w:type="pct"/>
            <w:vAlign w:val="center"/>
          </w:tcPr>
          <w:p w14:paraId="4B390979">
            <w:pPr>
              <w:keepNext w:val="0"/>
              <w:keepLines w:val="0"/>
              <w:pageBreakBefore w:val="0"/>
              <w:widowControl w:val="0"/>
              <w:kinsoku/>
              <w:wordWrap/>
              <w:overflowPunct w:val="0"/>
              <w:topLinePunct w:val="0"/>
              <w:autoSpaceDE/>
              <w:autoSpaceDN/>
              <w:bidi w:val="0"/>
              <w:spacing w:line="240" w:lineRule="exact"/>
              <w:ind w:left="0" w:leftChars="0" w:right="0" w:rightChars="0"/>
              <w:rPr>
                <w:rFonts w:ascii="Times New Roman" w:hAnsi="Times New Roman" w:cs="Times New Roman"/>
                <w:sz w:val="21"/>
                <w:szCs w:val="21"/>
              </w:rPr>
            </w:pPr>
            <w:r>
              <w:rPr>
                <w:rFonts w:ascii="Times New Roman" w:hAnsi="Times New Roman" w:cs="Times New Roman"/>
                <w:sz w:val="21"/>
                <w:szCs w:val="21"/>
              </w:rPr>
              <w:t xml:space="preserve">湖南省环境资源植物开发与利用工程技术研究中心 </w:t>
            </w:r>
          </w:p>
        </w:tc>
        <w:tc>
          <w:tcPr>
            <w:tcW w:w="625" w:type="pct"/>
            <w:vAlign w:val="center"/>
          </w:tcPr>
          <w:p w14:paraId="7E2448E1">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2016</w:t>
            </w:r>
          </w:p>
        </w:tc>
        <w:tc>
          <w:tcPr>
            <w:tcW w:w="656" w:type="pct"/>
            <w:vAlign w:val="center"/>
          </w:tcPr>
          <w:p w14:paraId="0AEBCE3C">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color w:val="000000"/>
                <w:sz w:val="21"/>
                <w:szCs w:val="21"/>
              </w:rPr>
              <w:t>良好</w:t>
            </w:r>
          </w:p>
        </w:tc>
      </w:tr>
      <w:tr w14:paraId="2C8B8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 w:type="pct"/>
            <w:vAlign w:val="center"/>
          </w:tcPr>
          <w:p w14:paraId="15C2C84E">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7</w:t>
            </w:r>
          </w:p>
        </w:tc>
        <w:tc>
          <w:tcPr>
            <w:tcW w:w="1490" w:type="pct"/>
            <w:vAlign w:val="center"/>
          </w:tcPr>
          <w:p w14:paraId="7466E91A">
            <w:pPr>
              <w:keepNext w:val="0"/>
              <w:keepLines w:val="0"/>
              <w:pageBreakBefore w:val="0"/>
              <w:widowControl w:val="0"/>
              <w:kinsoku/>
              <w:wordWrap/>
              <w:overflowPunct w:val="0"/>
              <w:topLinePunct w:val="0"/>
              <w:autoSpaceDE/>
              <w:autoSpaceDN/>
              <w:bidi w:val="0"/>
              <w:adjustRightInd w:val="0"/>
              <w:ind w:left="0" w:leftChars="0" w:right="0" w:rightChars="0"/>
              <w:rPr>
                <w:rFonts w:ascii="Times New Roman" w:hAnsi="Times New Roman" w:cs="Times New Roman" w:eastAsiaTheme="majorEastAsia"/>
                <w:b/>
                <w:bCs/>
                <w:sz w:val="21"/>
                <w:szCs w:val="21"/>
              </w:rPr>
            </w:pPr>
            <w:r>
              <w:rPr>
                <w:rFonts w:ascii="Times New Roman" w:hAnsi="Times New Roman" w:cs="Times New Roman"/>
                <w:bCs/>
                <w:sz w:val="21"/>
                <w:szCs w:val="21"/>
              </w:rPr>
              <w:t>国家创新联盟</w:t>
            </w:r>
          </w:p>
        </w:tc>
        <w:tc>
          <w:tcPr>
            <w:tcW w:w="1955" w:type="pct"/>
            <w:vAlign w:val="center"/>
          </w:tcPr>
          <w:p w14:paraId="7FC7B28E">
            <w:pPr>
              <w:keepNext w:val="0"/>
              <w:keepLines w:val="0"/>
              <w:pageBreakBefore w:val="0"/>
              <w:widowControl w:val="0"/>
              <w:kinsoku/>
              <w:wordWrap/>
              <w:overflowPunct w:val="0"/>
              <w:topLinePunct w:val="0"/>
              <w:autoSpaceDE/>
              <w:autoSpaceDN/>
              <w:bidi w:val="0"/>
              <w:spacing w:line="240" w:lineRule="exact"/>
              <w:ind w:left="0" w:leftChars="0" w:right="0" w:rightChars="0"/>
              <w:rPr>
                <w:rFonts w:ascii="Times New Roman" w:hAnsi="Times New Roman" w:cs="Times New Roman"/>
                <w:sz w:val="21"/>
                <w:szCs w:val="21"/>
              </w:rPr>
            </w:pPr>
            <w:r>
              <w:rPr>
                <w:rFonts w:ascii="Times New Roman" w:hAnsi="Times New Roman" w:cs="Times New Roman"/>
                <w:sz w:val="21"/>
                <w:szCs w:val="21"/>
              </w:rPr>
              <w:t>国家花卉产业技术创新战略联盟</w:t>
            </w:r>
          </w:p>
        </w:tc>
        <w:tc>
          <w:tcPr>
            <w:tcW w:w="625" w:type="pct"/>
            <w:vAlign w:val="center"/>
          </w:tcPr>
          <w:p w14:paraId="2765A9E7">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2019</w:t>
            </w:r>
          </w:p>
        </w:tc>
        <w:tc>
          <w:tcPr>
            <w:tcW w:w="656" w:type="pct"/>
            <w:vAlign w:val="center"/>
          </w:tcPr>
          <w:p w14:paraId="762C3B4A">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color w:val="000000"/>
                <w:sz w:val="21"/>
                <w:szCs w:val="21"/>
              </w:rPr>
              <w:t>未评估</w:t>
            </w:r>
          </w:p>
        </w:tc>
      </w:tr>
      <w:tr w14:paraId="75743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 w:type="pct"/>
            <w:vAlign w:val="center"/>
          </w:tcPr>
          <w:p w14:paraId="5D756DC1">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eastAsiaTheme="majorEastAsia"/>
                <w:bCs/>
                <w:sz w:val="21"/>
                <w:szCs w:val="21"/>
              </w:rPr>
              <w:t>8</w:t>
            </w:r>
          </w:p>
        </w:tc>
        <w:tc>
          <w:tcPr>
            <w:tcW w:w="1490" w:type="pct"/>
            <w:vAlign w:val="center"/>
          </w:tcPr>
          <w:p w14:paraId="067B9B5B">
            <w:pPr>
              <w:keepNext w:val="0"/>
              <w:keepLines w:val="0"/>
              <w:pageBreakBefore w:val="0"/>
              <w:widowControl w:val="0"/>
              <w:kinsoku/>
              <w:wordWrap/>
              <w:overflowPunct w:val="0"/>
              <w:topLinePunct w:val="0"/>
              <w:autoSpaceDE/>
              <w:autoSpaceDN/>
              <w:bidi w:val="0"/>
              <w:ind w:left="0" w:leftChars="0" w:right="0" w:rightChars="0"/>
              <w:rPr>
                <w:rFonts w:ascii="Times New Roman" w:hAnsi="Times New Roman" w:cs="Times New Roman" w:eastAsiaTheme="majorEastAsia"/>
                <w:b/>
                <w:bCs/>
                <w:sz w:val="21"/>
                <w:szCs w:val="21"/>
              </w:rPr>
            </w:pPr>
            <w:r>
              <w:rPr>
                <w:rFonts w:ascii="Times New Roman" w:hAnsi="Times New Roman" w:cs="Times New Roman"/>
                <w:sz w:val="21"/>
                <w:szCs w:val="21"/>
              </w:rPr>
              <w:t>林草国家创新联盟</w:t>
            </w:r>
          </w:p>
        </w:tc>
        <w:tc>
          <w:tcPr>
            <w:tcW w:w="1955" w:type="pct"/>
            <w:vAlign w:val="center"/>
          </w:tcPr>
          <w:p w14:paraId="6BDDDC39">
            <w:pPr>
              <w:keepNext w:val="0"/>
              <w:keepLines w:val="0"/>
              <w:pageBreakBefore w:val="0"/>
              <w:widowControl w:val="0"/>
              <w:kinsoku/>
              <w:wordWrap/>
              <w:overflowPunct w:val="0"/>
              <w:topLinePunct w:val="0"/>
              <w:autoSpaceDE/>
              <w:autoSpaceDN/>
              <w:bidi w:val="0"/>
              <w:spacing w:line="240" w:lineRule="exact"/>
              <w:ind w:left="0" w:leftChars="0" w:right="0" w:rightChars="0"/>
              <w:rPr>
                <w:rFonts w:ascii="Times New Roman" w:hAnsi="Times New Roman" w:cs="Times New Roman"/>
                <w:sz w:val="21"/>
                <w:szCs w:val="21"/>
              </w:rPr>
            </w:pPr>
            <w:r>
              <w:rPr>
                <w:rFonts w:ascii="Times New Roman" w:hAnsi="Times New Roman" w:cs="Times New Roman"/>
                <w:sz w:val="21"/>
                <w:szCs w:val="21"/>
              </w:rPr>
              <w:t>美丽乡村与乡村振兴创新联盟</w:t>
            </w:r>
          </w:p>
        </w:tc>
        <w:tc>
          <w:tcPr>
            <w:tcW w:w="625" w:type="pct"/>
            <w:vAlign w:val="center"/>
          </w:tcPr>
          <w:p w14:paraId="6B10CDB0">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2018</w:t>
            </w:r>
          </w:p>
        </w:tc>
        <w:tc>
          <w:tcPr>
            <w:tcW w:w="656" w:type="pct"/>
            <w:vAlign w:val="center"/>
          </w:tcPr>
          <w:p w14:paraId="0A33A82A">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color w:val="000000"/>
                <w:sz w:val="21"/>
                <w:szCs w:val="21"/>
              </w:rPr>
              <w:t>未评估</w:t>
            </w:r>
          </w:p>
        </w:tc>
      </w:tr>
      <w:tr w14:paraId="5D9E3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 w:type="pct"/>
            <w:vAlign w:val="center"/>
          </w:tcPr>
          <w:p w14:paraId="232B0F64">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eastAsiaTheme="majorEastAsia"/>
                <w:bCs/>
                <w:sz w:val="21"/>
                <w:szCs w:val="21"/>
              </w:rPr>
              <w:t>9</w:t>
            </w:r>
          </w:p>
        </w:tc>
        <w:tc>
          <w:tcPr>
            <w:tcW w:w="1490" w:type="pct"/>
            <w:vAlign w:val="center"/>
          </w:tcPr>
          <w:p w14:paraId="73828343">
            <w:pPr>
              <w:keepNext w:val="0"/>
              <w:keepLines w:val="0"/>
              <w:pageBreakBefore w:val="0"/>
              <w:widowControl w:val="0"/>
              <w:kinsoku/>
              <w:wordWrap/>
              <w:overflowPunct w:val="0"/>
              <w:topLinePunct w:val="0"/>
              <w:autoSpaceDE/>
              <w:autoSpaceDN/>
              <w:bidi w:val="0"/>
              <w:adjustRightInd w:val="0"/>
              <w:ind w:left="0" w:leftChars="0" w:right="0" w:rightChars="0"/>
              <w:rPr>
                <w:rFonts w:ascii="Times New Roman" w:hAnsi="Times New Roman" w:cs="Times New Roman" w:eastAsiaTheme="majorEastAsia"/>
                <w:b/>
                <w:bCs/>
                <w:sz w:val="21"/>
                <w:szCs w:val="21"/>
              </w:rPr>
            </w:pPr>
            <w:r>
              <w:rPr>
                <w:rFonts w:ascii="Times New Roman" w:hAnsi="Times New Roman" w:cs="Times New Roman"/>
                <w:bCs/>
                <w:sz w:val="21"/>
                <w:szCs w:val="21"/>
              </w:rPr>
              <w:t>省部级产学研联盟</w:t>
            </w:r>
          </w:p>
        </w:tc>
        <w:tc>
          <w:tcPr>
            <w:tcW w:w="1955" w:type="pct"/>
            <w:vAlign w:val="center"/>
          </w:tcPr>
          <w:p w14:paraId="6FB49C0B">
            <w:pPr>
              <w:keepNext w:val="0"/>
              <w:keepLines w:val="0"/>
              <w:pageBreakBefore w:val="0"/>
              <w:widowControl w:val="0"/>
              <w:kinsoku/>
              <w:wordWrap/>
              <w:overflowPunct w:val="0"/>
              <w:topLinePunct w:val="0"/>
              <w:autoSpaceDE/>
              <w:autoSpaceDN/>
              <w:bidi w:val="0"/>
              <w:spacing w:line="240" w:lineRule="exact"/>
              <w:ind w:left="0" w:leftChars="0" w:right="0" w:rightChars="0"/>
              <w:rPr>
                <w:rFonts w:ascii="Times New Roman" w:hAnsi="Times New Roman" w:cs="Times New Roman"/>
                <w:sz w:val="21"/>
                <w:szCs w:val="21"/>
              </w:rPr>
            </w:pPr>
            <w:r>
              <w:rPr>
                <w:rFonts w:ascii="Times New Roman" w:hAnsi="Times New Roman" w:cs="Times New Roman"/>
                <w:sz w:val="21"/>
                <w:szCs w:val="21"/>
              </w:rPr>
              <w:t>湖南省杜鹃花产学研战略联盟</w:t>
            </w:r>
          </w:p>
        </w:tc>
        <w:tc>
          <w:tcPr>
            <w:tcW w:w="625" w:type="pct"/>
            <w:vAlign w:val="center"/>
          </w:tcPr>
          <w:p w14:paraId="0902B0D3">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2021</w:t>
            </w:r>
          </w:p>
        </w:tc>
        <w:tc>
          <w:tcPr>
            <w:tcW w:w="656" w:type="pct"/>
            <w:vAlign w:val="center"/>
          </w:tcPr>
          <w:p w14:paraId="56E7CE18">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color w:val="000000"/>
                <w:sz w:val="21"/>
                <w:szCs w:val="21"/>
              </w:rPr>
              <w:t>未评估</w:t>
            </w:r>
          </w:p>
        </w:tc>
      </w:tr>
      <w:tr w14:paraId="3187C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 w:type="pct"/>
            <w:vAlign w:val="center"/>
          </w:tcPr>
          <w:p w14:paraId="5D13536E">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b/>
                <w:bCs/>
                <w:sz w:val="21"/>
                <w:szCs w:val="21"/>
              </w:rPr>
            </w:pPr>
            <w:r>
              <w:rPr>
                <w:rFonts w:ascii="Times New Roman" w:hAnsi="Times New Roman" w:cs="Times New Roman"/>
                <w:bCs/>
                <w:sz w:val="21"/>
                <w:szCs w:val="21"/>
              </w:rPr>
              <w:t>10</w:t>
            </w:r>
          </w:p>
        </w:tc>
        <w:tc>
          <w:tcPr>
            <w:tcW w:w="1490" w:type="pct"/>
            <w:vAlign w:val="center"/>
          </w:tcPr>
          <w:p w14:paraId="191DB277">
            <w:pPr>
              <w:keepNext w:val="0"/>
              <w:keepLines w:val="0"/>
              <w:pageBreakBefore w:val="0"/>
              <w:widowControl w:val="0"/>
              <w:kinsoku/>
              <w:wordWrap/>
              <w:overflowPunct w:val="0"/>
              <w:topLinePunct w:val="0"/>
              <w:autoSpaceDE/>
              <w:autoSpaceDN/>
              <w:bidi w:val="0"/>
              <w:ind w:left="0" w:leftChars="0" w:right="0" w:rightChars="0"/>
              <w:rPr>
                <w:rFonts w:ascii="Times New Roman" w:hAnsi="Times New Roman" w:cs="Times New Roman" w:eastAsiaTheme="majorEastAsia"/>
                <w:b/>
                <w:bCs/>
                <w:sz w:val="21"/>
                <w:szCs w:val="21"/>
              </w:rPr>
            </w:pPr>
            <w:r>
              <w:rPr>
                <w:rFonts w:ascii="Times New Roman" w:hAnsi="Times New Roman" w:cs="Times New Roman"/>
                <w:sz w:val="21"/>
                <w:szCs w:val="21"/>
              </w:rPr>
              <w:t>中央财政专项资金项目</w:t>
            </w:r>
          </w:p>
        </w:tc>
        <w:tc>
          <w:tcPr>
            <w:tcW w:w="1955" w:type="pct"/>
            <w:vAlign w:val="center"/>
          </w:tcPr>
          <w:p w14:paraId="451551CD">
            <w:pPr>
              <w:keepNext w:val="0"/>
              <w:keepLines w:val="0"/>
              <w:pageBreakBefore w:val="0"/>
              <w:widowControl w:val="0"/>
              <w:kinsoku/>
              <w:wordWrap/>
              <w:overflowPunct w:val="0"/>
              <w:topLinePunct w:val="0"/>
              <w:autoSpaceDE/>
              <w:autoSpaceDN/>
              <w:bidi w:val="0"/>
              <w:spacing w:line="240" w:lineRule="exact"/>
              <w:ind w:left="0" w:leftChars="0" w:right="0" w:rightChars="0"/>
              <w:rPr>
                <w:rFonts w:ascii="Times New Roman" w:hAnsi="Times New Roman" w:cs="Times New Roman"/>
                <w:sz w:val="21"/>
                <w:szCs w:val="21"/>
              </w:rPr>
            </w:pPr>
            <w:r>
              <w:rPr>
                <w:rFonts w:ascii="Times New Roman" w:hAnsi="Times New Roman" w:cs="Times New Roman"/>
                <w:sz w:val="21"/>
                <w:szCs w:val="21"/>
              </w:rPr>
              <w:t>园林植物综合实验室</w:t>
            </w:r>
          </w:p>
        </w:tc>
        <w:tc>
          <w:tcPr>
            <w:tcW w:w="625" w:type="pct"/>
            <w:vAlign w:val="center"/>
          </w:tcPr>
          <w:p w14:paraId="6DA902CD">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2018</w:t>
            </w:r>
          </w:p>
        </w:tc>
        <w:tc>
          <w:tcPr>
            <w:tcW w:w="656" w:type="pct"/>
            <w:vAlign w:val="center"/>
          </w:tcPr>
          <w:p w14:paraId="11BF48EB">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color w:val="000000"/>
                <w:sz w:val="21"/>
                <w:szCs w:val="21"/>
              </w:rPr>
              <w:t>未评估</w:t>
            </w:r>
          </w:p>
        </w:tc>
      </w:tr>
      <w:tr w14:paraId="53A81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 w:type="pct"/>
            <w:vAlign w:val="center"/>
          </w:tcPr>
          <w:p w14:paraId="645E8FEB">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b/>
                <w:bCs/>
                <w:sz w:val="21"/>
                <w:szCs w:val="21"/>
              </w:rPr>
            </w:pPr>
            <w:r>
              <w:rPr>
                <w:rFonts w:ascii="Times New Roman" w:hAnsi="Times New Roman" w:cs="Times New Roman"/>
                <w:bCs/>
                <w:sz w:val="21"/>
                <w:szCs w:val="21"/>
              </w:rPr>
              <w:t>11</w:t>
            </w:r>
          </w:p>
        </w:tc>
        <w:tc>
          <w:tcPr>
            <w:tcW w:w="1490" w:type="pct"/>
            <w:vAlign w:val="center"/>
          </w:tcPr>
          <w:p w14:paraId="0104FE40">
            <w:pPr>
              <w:keepNext w:val="0"/>
              <w:keepLines w:val="0"/>
              <w:pageBreakBefore w:val="0"/>
              <w:widowControl w:val="0"/>
              <w:kinsoku/>
              <w:wordWrap/>
              <w:overflowPunct w:val="0"/>
              <w:topLinePunct w:val="0"/>
              <w:autoSpaceDE/>
              <w:autoSpaceDN/>
              <w:bidi w:val="0"/>
              <w:ind w:left="0" w:leftChars="0" w:right="0" w:rightChars="0"/>
              <w:rPr>
                <w:rFonts w:ascii="Times New Roman" w:hAnsi="Times New Roman" w:cs="Times New Roman" w:eastAsiaTheme="majorEastAsia"/>
                <w:b/>
                <w:bCs/>
                <w:sz w:val="21"/>
                <w:szCs w:val="21"/>
              </w:rPr>
            </w:pPr>
            <w:r>
              <w:rPr>
                <w:rFonts w:ascii="Times New Roman" w:hAnsi="Times New Roman" w:cs="Times New Roman"/>
                <w:sz w:val="21"/>
                <w:szCs w:val="21"/>
              </w:rPr>
              <w:t>中央财政专项资金项目</w:t>
            </w:r>
          </w:p>
        </w:tc>
        <w:tc>
          <w:tcPr>
            <w:tcW w:w="1955" w:type="pct"/>
            <w:vAlign w:val="center"/>
          </w:tcPr>
          <w:p w14:paraId="5A5559FA">
            <w:pPr>
              <w:keepNext w:val="0"/>
              <w:keepLines w:val="0"/>
              <w:pageBreakBefore w:val="0"/>
              <w:widowControl w:val="0"/>
              <w:kinsoku/>
              <w:wordWrap/>
              <w:overflowPunct w:val="0"/>
              <w:topLinePunct w:val="0"/>
              <w:autoSpaceDE/>
              <w:autoSpaceDN/>
              <w:bidi w:val="0"/>
              <w:spacing w:line="240" w:lineRule="exact"/>
              <w:ind w:left="0" w:leftChars="0" w:right="0" w:rightChars="0"/>
              <w:rPr>
                <w:rFonts w:ascii="Times New Roman" w:hAnsi="Times New Roman" w:cs="Times New Roman"/>
                <w:sz w:val="21"/>
                <w:szCs w:val="21"/>
              </w:rPr>
            </w:pPr>
            <w:r>
              <w:rPr>
                <w:rFonts w:ascii="Times New Roman" w:hAnsi="Times New Roman" w:cs="Times New Roman"/>
                <w:sz w:val="21"/>
                <w:szCs w:val="21"/>
              </w:rPr>
              <w:t>城市规划综合实验中心</w:t>
            </w:r>
          </w:p>
        </w:tc>
        <w:tc>
          <w:tcPr>
            <w:tcW w:w="625" w:type="pct"/>
            <w:vAlign w:val="center"/>
          </w:tcPr>
          <w:p w14:paraId="4BE9D4DD">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bCs/>
                <w:sz w:val="21"/>
                <w:szCs w:val="21"/>
              </w:rPr>
              <w:t>2016</w:t>
            </w:r>
          </w:p>
        </w:tc>
        <w:tc>
          <w:tcPr>
            <w:tcW w:w="656" w:type="pct"/>
            <w:vAlign w:val="center"/>
          </w:tcPr>
          <w:p w14:paraId="28F34797">
            <w:pPr>
              <w:keepNext w:val="0"/>
              <w:keepLines w:val="0"/>
              <w:pageBreakBefore w:val="0"/>
              <w:widowControl w:val="0"/>
              <w:kinsoku/>
              <w:wordWrap/>
              <w:overflowPunct w:val="0"/>
              <w:topLinePunct w:val="0"/>
              <w:autoSpaceDE/>
              <w:autoSpaceDN/>
              <w:bidi w:val="0"/>
              <w:adjustRightInd w:val="0"/>
              <w:ind w:left="0" w:leftChars="0" w:right="0" w:rightChars="0"/>
              <w:jc w:val="center"/>
              <w:rPr>
                <w:rFonts w:ascii="Times New Roman" w:hAnsi="Times New Roman" w:cs="Times New Roman" w:eastAsiaTheme="majorEastAsia"/>
                <w:b/>
                <w:bCs/>
                <w:sz w:val="21"/>
                <w:szCs w:val="21"/>
              </w:rPr>
            </w:pPr>
            <w:r>
              <w:rPr>
                <w:rFonts w:ascii="Times New Roman" w:hAnsi="Times New Roman" w:cs="Times New Roman" w:eastAsiaTheme="majorEastAsia"/>
                <w:bCs/>
                <w:color w:val="000000"/>
                <w:sz w:val="21"/>
                <w:szCs w:val="21"/>
              </w:rPr>
              <w:t>良好</w:t>
            </w:r>
          </w:p>
        </w:tc>
      </w:tr>
    </w:tbl>
    <w:p w14:paraId="2CE0C4D3">
      <w:pPr>
        <w:keepNext w:val="0"/>
        <w:keepLines w:val="0"/>
        <w:pageBreakBefore w:val="0"/>
        <w:widowControl w:val="0"/>
        <w:kinsoku/>
        <w:wordWrap/>
        <w:overflowPunct w:val="0"/>
        <w:topLinePunct w:val="0"/>
        <w:autoSpaceDE/>
        <w:autoSpaceDN/>
        <w:bidi w:val="0"/>
        <w:adjustRightInd w:val="0"/>
        <w:snapToGrid w:val="0"/>
        <w:spacing w:before="132" w:beforeLines="30" w:line="360" w:lineRule="auto"/>
        <w:ind w:left="0" w:leftChars="0" w:right="0" w:rightChars="0" w:firstLine="480" w:firstLineChars="200"/>
        <w:jc w:val="left"/>
        <w:textAlignment w:val="auto"/>
        <w:outlineLvl w:val="2"/>
        <w:rPr>
          <w:rStyle w:val="27"/>
          <w:rFonts w:hint="default" w:ascii="Times New Roman" w:hAnsi="Times New Roman" w:eastAsia="黑体" w:cs="Times New Roman"/>
          <w:b w:val="0"/>
          <w:bCs/>
          <w:sz w:val="24"/>
          <w:szCs w:val="24"/>
          <w:lang w:val="en-US" w:eastAsia="zh-CN"/>
        </w:rPr>
      </w:pPr>
      <w:r>
        <w:rPr>
          <w:rStyle w:val="27"/>
          <w:rFonts w:hint="default" w:ascii="Times New Roman" w:hAnsi="Times New Roman" w:eastAsia="黑体" w:cs="Times New Roman"/>
          <w:b w:val="0"/>
          <w:bCs/>
          <w:sz w:val="24"/>
          <w:szCs w:val="24"/>
          <w:lang w:val="en-US" w:eastAsia="zh-CN"/>
        </w:rPr>
        <w:t>5.社会服务情况</w:t>
      </w:r>
    </w:p>
    <w:p w14:paraId="2C2FCC74">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default" w:ascii="Times New Roman" w:hAnsi="Times New Roman" w:eastAsia="宋体" w:cs="Times New Roman"/>
          <w:color w:val="000000"/>
          <w:kern w:val="0"/>
          <w:sz w:val="24"/>
          <w:szCs w:val="24"/>
          <w:lang w:bidi="ar"/>
        </w:rPr>
        <w:t>学位点服务地方和社会，为生态文明建设和乡村振兴战略做出了突出贡献。坚持生态优先、绿色发展，学院教师承担长沙橘子洲头提质改造、河北塞罕坝自然保护区总体规划等重要社会服务项目；以科技特派员身份参加科技服务15人次；省政府参</w:t>
      </w:r>
      <w:r>
        <w:rPr>
          <w:rFonts w:hint="eastAsia" w:ascii="宋体" w:hAnsi="宋体" w:eastAsia="宋体" w:cs="宋体"/>
          <w:color w:val="000000"/>
          <w:kern w:val="0"/>
          <w:sz w:val="24"/>
          <w:szCs w:val="24"/>
          <w:lang w:bidi="ar"/>
        </w:rPr>
        <w:t>事、园艺系陈亮明教授牵头向省政府提交的“创建长株潭绿心国家植物园的建议”的参事建言</w:t>
      </w:r>
      <w:r>
        <w:rPr>
          <w:rFonts w:hint="default" w:ascii="Times New Roman" w:hAnsi="Times New Roman" w:eastAsia="宋体" w:cs="Times New Roman"/>
          <w:color w:val="000000"/>
          <w:kern w:val="0"/>
          <w:sz w:val="24"/>
          <w:szCs w:val="24"/>
          <w:lang w:bidi="ar"/>
        </w:rPr>
        <w:t>，于8月24日召开的</w:t>
      </w:r>
      <w:r>
        <w:rPr>
          <w:rFonts w:hint="eastAsia" w:ascii="宋体" w:hAnsi="宋体" w:eastAsia="宋体" w:cs="宋体"/>
          <w:color w:val="000000"/>
          <w:kern w:val="0"/>
          <w:sz w:val="24"/>
          <w:szCs w:val="24"/>
          <w:lang w:bidi="ar"/>
        </w:rPr>
        <w:t>省委常务会议关于长株潭最新发展布局“一厅一道一园一廊四张网”中的“一园”（创建长株潭绿心国家植物园）被正式采纳。陈亮明教授还向省政府提交的《关于加快我省花卉产业高质量发展的建设》，得到常务副省长张迎春批示，促成湖南省林业局和省农业农村厅联合出台《关于推进花卉苗木产业高质量发展的实施意见》。曹基武教授团队致力于推进古树名木保护和抢救工作，得到省领导的高度赞扬，产生很好的社会影响。古树名木保护工程中心承办的第二届南方古树名木保护技术交流会暨古树名木保护高质量发展推进会在永州召开，为湖南省古树名木保护所做的扎实工作受到肯定。</w:t>
      </w:r>
    </w:p>
    <w:p w14:paraId="1DC4E6D3">
      <w:pPr>
        <w:keepNext w:val="0"/>
        <w:keepLines w:val="0"/>
        <w:pageBreakBefore w:val="0"/>
        <w:widowControl w:val="0"/>
        <w:kinsoku/>
        <w:wordWrap/>
        <w:overflowPunct w:val="0"/>
        <w:topLinePunct w:val="0"/>
        <w:autoSpaceDE/>
        <w:autoSpaceDN/>
        <w:bidi w:val="0"/>
        <w:adjustRightInd w:val="0"/>
        <w:ind w:left="0" w:leftChars="0" w:right="0" w:rightChars="0"/>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 xml:space="preserve">表13 </w:t>
      </w:r>
      <w:r>
        <w:rPr>
          <w:rFonts w:hint="default" w:ascii="Times New Roman" w:hAnsi="Times New Roman" w:eastAsia="宋体" w:cs="Times New Roman"/>
          <w:b/>
          <w:color w:val="000000"/>
          <w:szCs w:val="21"/>
          <w:lang w:val="en-US" w:eastAsia="zh-CN"/>
        </w:rPr>
        <w:t xml:space="preserve"> </w:t>
      </w:r>
      <w:r>
        <w:rPr>
          <w:rFonts w:hint="default" w:ascii="Times New Roman" w:hAnsi="Times New Roman" w:eastAsia="宋体" w:cs="Times New Roman"/>
          <w:b/>
          <w:color w:val="000000"/>
          <w:szCs w:val="21"/>
        </w:rPr>
        <w:t>重要社会服务项目</w:t>
      </w:r>
    </w:p>
    <w:tbl>
      <w:tblPr>
        <w:tblStyle w:val="11"/>
        <w:tblpPr w:leftFromText="180" w:rightFromText="180" w:vertAnchor="text" w:horzAnchor="margin" w:tblpX="129" w:tblpY="149"/>
        <w:tblOverlap w:val="never"/>
        <w:tblW w:w="4998" w:type="pct"/>
        <w:tblInd w:w="0" w:type="dxa"/>
        <w:tblLayout w:type="autofit"/>
        <w:tblCellMar>
          <w:top w:w="0" w:type="dxa"/>
          <w:left w:w="108" w:type="dxa"/>
          <w:bottom w:w="0" w:type="dxa"/>
          <w:right w:w="108" w:type="dxa"/>
        </w:tblCellMar>
      </w:tblPr>
      <w:tblGrid>
        <w:gridCol w:w="4682"/>
        <w:gridCol w:w="1122"/>
        <w:gridCol w:w="980"/>
        <w:gridCol w:w="1854"/>
      </w:tblGrid>
      <w:tr w14:paraId="1F49ECD5">
        <w:tblPrEx>
          <w:tblCellMar>
            <w:top w:w="0" w:type="dxa"/>
            <w:left w:w="108" w:type="dxa"/>
            <w:bottom w:w="0" w:type="dxa"/>
            <w:right w:w="108" w:type="dxa"/>
          </w:tblCellMar>
        </w:tblPrEx>
        <w:trPr>
          <w:trHeight w:val="300" w:hRule="atLeast"/>
        </w:trPr>
        <w:tc>
          <w:tcPr>
            <w:tcW w:w="2709" w:type="pct"/>
            <w:tcBorders>
              <w:top w:val="single" w:color="000000" w:sz="4" w:space="0"/>
              <w:left w:val="single" w:color="000000" w:sz="4" w:space="0"/>
              <w:bottom w:val="single" w:color="000000" w:sz="4" w:space="0"/>
              <w:right w:val="single" w:color="000000" w:sz="4" w:space="0"/>
            </w:tcBorders>
            <w:vAlign w:val="center"/>
          </w:tcPr>
          <w:p w14:paraId="7B965F1F">
            <w:pPr>
              <w:keepNext w:val="0"/>
              <w:keepLines w:val="0"/>
              <w:pageBreakBefore w:val="0"/>
              <w:widowControl w:val="0"/>
              <w:kinsoku/>
              <w:wordWrap/>
              <w:overflowPunct w:val="0"/>
              <w:topLinePunct w:val="0"/>
              <w:autoSpaceDE/>
              <w:autoSpaceDN/>
              <w:bidi w:val="0"/>
              <w:adjustRightInd w:val="0"/>
              <w:ind w:left="0" w:leftChars="0" w:right="0" w:rightChars="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项目名称</w:t>
            </w:r>
          </w:p>
        </w:tc>
        <w:tc>
          <w:tcPr>
            <w:tcW w:w="649" w:type="pct"/>
            <w:tcBorders>
              <w:top w:val="single" w:color="000000" w:sz="4" w:space="0"/>
              <w:left w:val="single" w:color="auto" w:sz="4" w:space="0"/>
              <w:bottom w:val="single" w:color="000000" w:sz="4" w:space="0"/>
              <w:right w:val="single" w:color="000000" w:sz="4" w:space="0"/>
            </w:tcBorders>
            <w:vAlign w:val="center"/>
          </w:tcPr>
          <w:p w14:paraId="52CC2A43">
            <w:pPr>
              <w:keepNext w:val="0"/>
              <w:keepLines w:val="0"/>
              <w:pageBreakBefore w:val="0"/>
              <w:widowControl w:val="0"/>
              <w:kinsoku/>
              <w:wordWrap/>
              <w:overflowPunct w:val="0"/>
              <w:topLinePunct w:val="0"/>
              <w:autoSpaceDE/>
              <w:autoSpaceDN/>
              <w:bidi w:val="0"/>
              <w:adjustRightInd w:val="0"/>
              <w:ind w:left="0" w:leftChars="0" w:right="0" w:rightChars="0"/>
              <w:jc w:val="center"/>
              <w:rPr>
                <w:rFonts w:hint="default" w:ascii="Times New Roman" w:hAnsi="Times New Roman" w:eastAsia="宋体" w:cs="Times New Roman"/>
                <w:b/>
                <w:color w:val="000000"/>
                <w:kern w:val="0"/>
                <w:szCs w:val="21"/>
                <w:lang w:bidi="ar"/>
              </w:rPr>
            </w:pPr>
            <w:r>
              <w:rPr>
                <w:rFonts w:hint="default" w:ascii="Times New Roman" w:hAnsi="Times New Roman" w:eastAsia="宋体" w:cs="Times New Roman"/>
                <w:b/>
                <w:color w:val="000000"/>
                <w:kern w:val="0"/>
                <w:szCs w:val="21"/>
                <w:lang w:bidi="ar"/>
              </w:rPr>
              <w:t>所属年度</w:t>
            </w:r>
          </w:p>
        </w:tc>
        <w:tc>
          <w:tcPr>
            <w:tcW w:w="567" w:type="pct"/>
            <w:tcBorders>
              <w:top w:val="single" w:color="000000" w:sz="4" w:space="0"/>
              <w:left w:val="single" w:color="000000" w:sz="4" w:space="0"/>
              <w:bottom w:val="single" w:color="000000" w:sz="4" w:space="0"/>
              <w:right w:val="single" w:color="auto" w:sz="4" w:space="0"/>
            </w:tcBorders>
            <w:vAlign w:val="center"/>
          </w:tcPr>
          <w:p w14:paraId="7D7E2BDF">
            <w:pPr>
              <w:keepNext w:val="0"/>
              <w:keepLines w:val="0"/>
              <w:pageBreakBefore w:val="0"/>
              <w:widowControl w:val="0"/>
              <w:kinsoku/>
              <w:wordWrap/>
              <w:overflowPunct w:val="0"/>
              <w:topLinePunct w:val="0"/>
              <w:autoSpaceDE/>
              <w:autoSpaceDN/>
              <w:bidi w:val="0"/>
              <w:adjustRightInd w:val="0"/>
              <w:ind w:left="0" w:leftChars="0" w:right="0" w:rightChars="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负责人</w:t>
            </w:r>
          </w:p>
        </w:tc>
        <w:tc>
          <w:tcPr>
            <w:tcW w:w="1073" w:type="pct"/>
            <w:tcBorders>
              <w:top w:val="single" w:color="000000" w:sz="4" w:space="0"/>
              <w:left w:val="single" w:color="auto" w:sz="4" w:space="0"/>
              <w:bottom w:val="single" w:color="000000" w:sz="4" w:space="0"/>
              <w:right w:val="single" w:color="000000" w:sz="4" w:space="0"/>
            </w:tcBorders>
            <w:vAlign w:val="center"/>
          </w:tcPr>
          <w:p w14:paraId="6C65FA8D">
            <w:pPr>
              <w:keepNext w:val="0"/>
              <w:keepLines w:val="0"/>
              <w:pageBreakBefore w:val="0"/>
              <w:widowControl w:val="0"/>
              <w:kinsoku/>
              <w:wordWrap/>
              <w:overflowPunct w:val="0"/>
              <w:topLinePunct w:val="0"/>
              <w:autoSpaceDE/>
              <w:autoSpaceDN/>
              <w:bidi w:val="0"/>
              <w:adjustRightInd w:val="0"/>
              <w:ind w:left="0" w:leftChars="0" w:right="0" w:rightChars="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合同经费</w:t>
            </w:r>
            <w:r>
              <w:rPr>
                <w:rFonts w:hint="default" w:ascii="Times New Roman" w:hAnsi="Times New Roman" w:cs="Times New Roman" w:eastAsiaTheme="majorEastAsia"/>
                <w:b/>
                <w:kern w:val="0"/>
                <w:sz w:val="20"/>
                <w:szCs w:val="21"/>
              </w:rPr>
              <w:t>（万元）</w:t>
            </w:r>
          </w:p>
        </w:tc>
      </w:tr>
      <w:tr w14:paraId="280922DE">
        <w:tblPrEx>
          <w:tblCellMar>
            <w:top w:w="0" w:type="dxa"/>
            <w:left w:w="108" w:type="dxa"/>
            <w:bottom w:w="0" w:type="dxa"/>
            <w:right w:w="108" w:type="dxa"/>
          </w:tblCellMar>
        </w:tblPrEx>
        <w:trPr>
          <w:trHeight w:val="300" w:hRule="atLeast"/>
        </w:trPr>
        <w:tc>
          <w:tcPr>
            <w:tcW w:w="2709" w:type="pct"/>
            <w:tcBorders>
              <w:top w:val="single" w:color="000000" w:sz="4" w:space="0"/>
              <w:left w:val="single" w:color="000000" w:sz="4" w:space="0"/>
              <w:bottom w:val="single" w:color="000000" w:sz="4" w:space="0"/>
              <w:right w:val="single" w:color="000000" w:sz="4" w:space="0"/>
            </w:tcBorders>
            <w:vAlign w:val="center"/>
          </w:tcPr>
          <w:p w14:paraId="25880272">
            <w:pPr>
              <w:keepNext w:val="0"/>
              <w:keepLines w:val="0"/>
              <w:pageBreakBefore w:val="0"/>
              <w:widowControl w:val="0"/>
              <w:kinsoku/>
              <w:wordWrap/>
              <w:overflowPunct w:val="0"/>
              <w:topLinePunct w:val="0"/>
              <w:autoSpaceDE/>
              <w:autoSpaceDN/>
              <w:bidi w:val="0"/>
              <w:adjustRightInd w:val="0"/>
              <w:ind w:left="0" w:leftChars="0" w:right="0" w:rightChars="0"/>
              <w:jc w:val="both"/>
              <w:rPr>
                <w:rFonts w:hint="default" w:ascii="Times New Roman" w:hAnsi="Times New Roman" w:eastAsia="宋体" w:cs="Times New Roman"/>
                <w:b/>
                <w:bCs/>
                <w:szCs w:val="21"/>
              </w:rPr>
            </w:pPr>
            <w:r>
              <w:rPr>
                <w:rFonts w:hint="default" w:ascii="Times New Roman" w:hAnsi="Times New Roman" w:eastAsia="宋体" w:cs="Times New Roman"/>
                <w:color w:val="000000"/>
                <w:kern w:val="0"/>
                <w:szCs w:val="21"/>
                <w:lang w:bidi="ar"/>
              </w:rPr>
              <w:t>塞罕坝国家森林公园总体规划</w:t>
            </w:r>
          </w:p>
        </w:tc>
        <w:tc>
          <w:tcPr>
            <w:tcW w:w="649" w:type="pct"/>
            <w:tcBorders>
              <w:top w:val="single" w:color="000000" w:sz="4" w:space="0"/>
              <w:left w:val="single" w:color="auto" w:sz="4" w:space="0"/>
              <w:bottom w:val="single" w:color="000000" w:sz="4" w:space="0"/>
              <w:right w:val="single" w:color="000000" w:sz="4" w:space="0"/>
            </w:tcBorders>
            <w:vAlign w:val="center"/>
          </w:tcPr>
          <w:p w14:paraId="6DD2A3B5">
            <w:pPr>
              <w:keepNext w:val="0"/>
              <w:keepLines w:val="0"/>
              <w:pageBreakBefore w:val="0"/>
              <w:widowControl w:val="0"/>
              <w:kinsoku/>
              <w:wordWrap/>
              <w:overflowPunct w:val="0"/>
              <w:topLinePunct w:val="0"/>
              <w:autoSpaceDE/>
              <w:autoSpaceDN/>
              <w:bidi w:val="0"/>
              <w:adjustRightInd w:val="0"/>
              <w:ind w:left="0" w:leftChars="0" w:right="0" w:rightChars="0"/>
              <w:jc w:val="center"/>
              <w:rPr>
                <w:rFonts w:hint="default" w:ascii="Times New Roman" w:hAnsi="Times New Roman" w:eastAsia="宋体" w:cs="Times New Roman"/>
                <w:b/>
                <w:color w:val="000000"/>
                <w:kern w:val="0"/>
                <w:szCs w:val="21"/>
                <w:lang w:bidi="ar"/>
              </w:rPr>
            </w:pPr>
            <w:r>
              <w:rPr>
                <w:rFonts w:hint="default" w:ascii="Times New Roman" w:hAnsi="Times New Roman" w:eastAsia="宋体" w:cs="Times New Roman"/>
                <w:color w:val="000000"/>
                <w:kern w:val="0"/>
                <w:szCs w:val="21"/>
                <w:lang w:bidi="ar"/>
              </w:rPr>
              <w:t>2024</w:t>
            </w:r>
          </w:p>
        </w:tc>
        <w:tc>
          <w:tcPr>
            <w:tcW w:w="567" w:type="pct"/>
            <w:tcBorders>
              <w:top w:val="single" w:color="000000" w:sz="4" w:space="0"/>
              <w:left w:val="single" w:color="000000" w:sz="4" w:space="0"/>
              <w:bottom w:val="single" w:color="000000" w:sz="4" w:space="0"/>
              <w:right w:val="single" w:color="auto" w:sz="4" w:space="0"/>
            </w:tcBorders>
            <w:vAlign w:val="center"/>
          </w:tcPr>
          <w:p w14:paraId="44DF3DDB">
            <w:pPr>
              <w:keepNext w:val="0"/>
              <w:keepLines w:val="0"/>
              <w:pageBreakBefore w:val="0"/>
              <w:widowControl w:val="0"/>
              <w:kinsoku/>
              <w:wordWrap/>
              <w:overflowPunct w:val="0"/>
              <w:topLinePunct w:val="0"/>
              <w:autoSpaceDE/>
              <w:autoSpaceDN/>
              <w:bidi w:val="0"/>
              <w:adjustRightInd w:val="0"/>
              <w:ind w:left="0" w:leftChars="0" w:right="0" w:rightChars="0"/>
              <w:jc w:val="center"/>
              <w:rPr>
                <w:rFonts w:hint="default" w:ascii="Times New Roman" w:hAnsi="Times New Roman" w:eastAsia="宋体" w:cs="Times New Roman"/>
                <w:b/>
                <w:bCs/>
                <w:szCs w:val="21"/>
              </w:rPr>
            </w:pPr>
            <w:r>
              <w:rPr>
                <w:rFonts w:hint="default" w:ascii="Times New Roman" w:hAnsi="Times New Roman" w:eastAsia="宋体" w:cs="Times New Roman"/>
                <w:color w:val="000000"/>
                <w:kern w:val="0"/>
                <w:szCs w:val="21"/>
                <w:lang w:bidi="ar"/>
              </w:rPr>
              <w:t>沈守云</w:t>
            </w:r>
          </w:p>
        </w:tc>
        <w:tc>
          <w:tcPr>
            <w:tcW w:w="1073" w:type="pct"/>
            <w:tcBorders>
              <w:top w:val="single" w:color="000000" w:sz="4" w:space="0"/>
              <w:left w:val="single" w:color="auto" w:sz="4" w:space="0"/>
              <w:bottom w:val="single" w:color="000000" w:sz="4" w:space="0"/>
              <w:right w:val="single" w:color="000000" w:sz="4" w:space="0"/>
            </w:tcBorders>
            <w:vAlign w:val="center"/>
          </w:tcPr>
          <w:p w14:paraId="4354D200">
            <w:pPr>
              <w:keepNext w:val="0"/>
              <w:keepLines w:val="0"/>
              <w:pageBreakBefore w:val="0"/>
              <w:widowControl w:val="0"/>
              <w:kinsoku/>
              <w:wordWrap/>
              <w:overflowPunct w:val="0"/>
              <w:topLinePunct w:val="0"/>
              <w:autoSpaceDE/>
              <w:autoSpaceDN/>
              <w:bidi w:val="0"/>
              <w:adjustRightInd w:val="0"/>
              <w:ind w:left="0" w:leftChars="0" w:right="0" w:rightChars="0"/>
              <w:jc w:val="center"/>
              <w:rPr>
                <w:rFonts w:hint="default" w:ascii="Times New Roman" w:hAnsi="Times New Roman" w:eastAsia="宋体" w:cs="Times New Roman"/>
                <w:b/>
                <w:bCs/>
                <w:szCs w:val="21"/>
              </w:rPr>
            </w:pPr>
            <w:r>
              <w:rPr>
                <w:rFonts w:hint="default" w:ascii="Times New Roman" w:hAnsi="Times New Roman" w:eastAsia="宋体" w:cs="Times New Roman"/>
                <w:color w:val="000000"/>
                <w:kern w:val="0"/>
                <w:szCs w:val="21"/>
                <w:lang w:bidi="ar"/>
              </w:rPr>
              <w:t>40</w:t>
            </w:r>
          </w:p>
        </w:tc>
      </w:tr>
      <w:tr w14:paraId="44B3084C">
        <w:tblPrEx>
          <w:tblCellMar>
            <w:top w:w="0" w:type="dxa"/>
            <w:left w:w="108" w:type="dxa"/>
            <w:bottom w:w="0" w:type="dxa"/>
            <w:right w:w="108" w:type="dxa"/>
          </w:tblCellMar>
        </w:tblPrEx>
        <w:trPr>
          <w:trHeight w:val="300" w:hRule="atLeast"/>
        </w:trPr>
        <w:tc>
          <w:tcPr>
            <w:tcW w:w="2709" w:type="pct"/>
            <w:tcBorders>
              <w:top w:val="single" w:color="000000" w:sz="4" w:space="0"/>
              <w:left w:val="single" w:color="000000" w:sz="4" w:space="0"/>
              <w:bottom w:val="single" w:color="000000" w:sz="4" w:space="0"/>
              <w:right w:val="single" w:color="000000" w:sz="4" w:space="0"/>
            </w:tcBorders>
            <w:vAlign w:val="center"/>
          </w:tcPr>
          <w:p w14:paraId="720F79B9">
            <w:pPr>
              <w:keepNext w:val="0"/>
              <w:keepLines w:val="0"/>
              <w:pageBreakBefore w:val="0"/>
              <w:widowControl w:val="0"/>
              <w:kinsoku/>
              <w:wordWrap/>
              <w:overflowPunct w:val="0"/>
              <w:topLinePunct w:val="0"/>
              <w:autoSpaceDE/>
              <w:autoSpaceDN/>
              <w:bidi w:val="0"/>
              <w:ind w:left="0" w:leftChars="0" w:right="0" w:rightChars="0"/>
              <w:jc w:val="both"/>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新晃创建省级森林城市总体规划项目</w:t>
            </w:r>
          </w:p>
        </w:tc>
        <w:tc>
          <w:tcPr>
            <w:tcW w:w="649" w:type="pct"/>
            <w:tcBorders>
              <w:top w:val="single" w:color="000000" w:sz="4" w:space="0"/>
              <w:left w:val="single" w:color="auto" w:sz="4" w:space="0"/>
              <w:bottom w:val="single" w:color="000000" w:sz="4" w:space="0"/>
              <w:right w:val="single" w:color="000000" w:sz="4" w:space="0"/>
            </w:tcBorders>
            <w:vAlign w:val="center"/>
          </w:tcPr>
          <w:p w14:paraId="56BD9FF2">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2024</w:t>
            </w:r>
          </w:p>
        </w:tc>
        <w:tc>
          <w:tcPr>
            <w:tcW w:w="567" w:type="pct"/>
            <w:tcBorders>
              <w:top w:val="single" w:color="000000" w:sz="4" w:space="0"/>
              <w:left w:val="single" w:color="000000" w:sz="4" w:space="0"/>
              <w:bottom w:val="single" w:color="000000" w:sz="4" w:space="0"/>
              <w:right w:val="single" w:color="auto" w:sz="4" w:space="0"/>
            </w:tcBorders>
            <w:vAlign w:val="center"/>
          </w:tcPr>
          <w:p w14:paraId="43ADFCED">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廖飞勇</w:t>
            </w:r>
          </w:p>
        </w:tc>
        <w:tc>
          <w:tcPr>
            <w:tcW w:w="1073" w:type="pct"/>
            <w:tcBorders>
              <w:top w:val="single" w:color="000000" w:sz="4" w:space="0"/>
              <w:left w:val="single" w:color="auto" w:sz="4" w:space="0"/>
              <w:bottom w:val="single" w:color="000000" w:sz="4" w:space="0"/>
              <w:right w:val="single" w:color="000000" w:sz="4" w:space="0"/>
            </w:tcBorders>
            <w:vAlign w:val="center"/>
          </w:tcPr>
          <w:p w14:paraId="04CCED2A">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53</w:t>
            </w:r>
          </w:p>
        </w:tc>
      </w:tr>
      <w:tr w14:paraId="18152754">
        <w:tblPrEx>
          <w:tblCellMar>
            <w:top w:w="0" w:type="dxa"/>
            <w:left w:w="108" w:type="dxa"/>
            <w:bottom w:w="0" w:type="dxa"/>
            <w:right w:w="108" w:type="dxa"/>
          </w:tblCellMar>
        </w:tblPrEx>
        <w:trPr>
          <w:trHeight w:val="300" w:hRule="atLeast"/>
        </w:trPr>
        <w:tc>
          <w:tcPr>
            <w:tcW w:w="2709" w:type="pct"/>
            <w:tcBorders>
              <w:top w:val="single" w:color="000000" w:sz="4" w:space="0"/>
              <w:left w:val="single" w:color="000000" w:sz="4" w:space="0"/>
              <w:bottom w:val="single" w:color="000000" w:sz="4" w:space="0"/>
              <w:right w:val="single" w:color="000000" w:sz="4" w:space="0"/>
            </w:tcBorders>
            <w:vAlign w:val="center"/>
          </w:tcPr>
          <w:p w14:paraId="2352339D">
            <w:pPr>
              <w:keepNext w:val="0"/>
              <w:keepLines w:val="0"/>
              <w:pageBreakBefore w:val="0"/>
              <w:widowControl w:val="0"/>
              <w:kinsoku/>
              <w:wordWrap/>
              <w:overflowPunct w:val="0"/>
              <w:topLinePunct w:val="0"/>
              <w:autoSpaceDE/>
              <w:autoSpaceDN/>
              <w:bidi w:val="0"/>
              <w:ind w:left="0" w:leftChars="0" w:right="0" w:rightChars="0"/>
              <w:jc w:val="both"/>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湖南省江永县国家储备林（一期）建设项目</w:t>
            </w:r>
          </w:p>
        </w:tc>
        <w:tc>
          <w:tcPr>
            <w:tcW w:w="649" w:type="pct"/>
            <w:tcBorders>
              <w:top w:val="single" w:color="000000" w:sz="4" w:space="0"/>
              <w:left w:val="single" w:color="auto" w:sz="4" w:space="0"/>
              <w:bottom w:val="single" w:color="000000" w:sz="4" w:space="0"/>
              <w:right w:val="single" w:color="000000" w:sz="4" w:space="0"/>
            </w:tcBorders>
            <w:vAlign w:val="center"/>
          </w:tcPr>
          <w:p w14:paraId="2392C602">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rPr>
            </w:pPr>
            <w:r>
              <w:rPr>
                <w:rFonts w:hint="default" w:ascii="Times New Roman" w:hAnsi="Times New Roman" w:eastAsia="宋体" w:cs="Times New Roman"/>
                <w:color w:val="000000"/>
                <w:kern w:val="0"/>
                <w:szCs w:val="21"/>
                <w:lang w:bidi="ar"/>
              </w:rPr>
              <w:t>2024</w:t>
            </w:r>
          </w:p>
        </w:tc>
        <w:tc>
          <w:tcPr>
            <w:tcW w:w="567" w:type="pct"/>
            <w:tcBorders>
              <w:top w:val="single" w:color="000000" w:sz="4" w:space="0"/>
              <w:left w:val="single" w:color="000000" w:sz="4" w:space="0"/>
              <w:bottom w:val="single" w:color="000000" w:sz="4" w:space="0"/>
              <w:right w:val="single" w:color="auto" w:sz="4" w:space="0"/>
            </w:tcBorders>
            <w:vAlign w:val="center"/>
          </w:tcPr>
          <w:p w14:paraId="50C30880">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廖飞勇</w:t>
            </w:r>
          </w:p>
        </w:tc>
        <w:tc>
          <w:tcPr>
            <w:tcW w:w="1073" w:type="pct"/>
            <w:tcBorders>
              <w:top w:val="single" w:color="000000" w:sz="4" w:space="0"/>
              <w:left w:val="single" w:color="auto" w:sz="4" w:space="0"/>
              <w:bottom w:val="single" w:color="000000" w:sz="4" w:space="0"/>
              <w:right w:val="single" w:color="000000" w:sz="4" w:space="0"/>
            </w:tcBorders>
            <w:vAlign w:val="center"/>
          </w:tcPr>
          <w:p w14:paraId="652A052B">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52.5</w:t>
            </w:r>
          </w:p>
        </w:tc>
      </w:tr>
      <w:tr w14:paraId="567AAF76">
        <w:tblPrEx>
          <w:tblCellMar>
            <w:top w:w="0" w:type="dxa"/>
            <w:left w:w="108" w:type="dxa"/>
            <w:bottom w:w="0" w:type="dxa"/>
            <w:right w:w="108" w:type="dxa"/>
          </w:tblCellMar>
        </w:tblPrEx>
        <w:trPr>
          <w:trHeight w:val="300" w:hRule="atLeast"/>
        </w:trPr>
        <w:tc>
          <w:tcPr>
            <w:tcW w:w="2709" w:type="pct"/>
            <w:tcBorders>
              <w:top w:val="single" w:color="000000" w:sz="4" w:space="0"/>
              <w:left w:val="single" w:color="000000" w:sz="4" w:space="0"/>
              <w:bottom w:val="single" w:color="000000" w:sz="4" w:space="0"/>
              <w:right w:val="single" w:color="000000" w:sz="4" w:space="0"/>
            </w:tcBorders>
            <w:vAlign w:val="center"/>
          </w:tcPr>
          <w:p w14:paraId="7E9279C9">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长江干流(湖南段)堤防提升工程前期专题咨询服务建设项目使用林地可行性研究报告</w:t>
            </w:r>
          </w:p>
        </w:tc>
        <w:tc>
          <w:tcPr>
            <w:tcW w:w="649" w:type="pct"/>
            <w:tcBorders>
              <w:top w:val="single" w:color="000000" w:sz="4" w:space="0"/>
              <w:left w:val="single" w:color="auto" w:sz="4" w:space="0"/>
              <w:bottom w:val="single" w:color="000000" w:sz="4" w:space="0"/>
              <w:right w:val="single" w:color="000000" w:sz="4" w:space="0"/>
            </w:tcBorders>
            <w:vAlign w:val="center"/>
          </w:tcPr>
          <w:p w14:paraId="5456FDAB">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rPr>
            </w:pPr>
            <w:r>
              <w:rPr>
                <w:rFonts w:hint="default" w:ascii="Times New Roman" w:hAnsi="Times New Roman" w:eastAsia="宋体" w:cs="Times New Roman"/>
                <w:color w:val="000000"/>
                <w:kern w:val="0"/>
                <w:szCs w:val="21"/>
                <w:lang w:bidi="ar"/>
              </w:rPr>
              <w:t>2024</w:t>
            </w:r>
          </w:p>
        </w:tc>
        <w:tc>
          <w:tcPr>
            <w:tcW w:w="567" w:type="pct"/>
            <w:tcBorders>
              <w:top w:val="single" w:color="000000" w:sz="4" w:space="0"/>
              <w:left w:val="single" w:color="000000" w:sz="4" w:space="0"/>
              <w:bottom w:val="single" w:color="000000" w:sz="4" w:space="0"/>
              <w:right w:val="single" w:color="auto" w:sz="4" w:space="0"/>
            </w:tcBorders>
            <w:vAlign w:val="center"/>
          </w:tcPr>
          <w:p w14:paraId="284E6775">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薛行健</w:t>
            </w:r>
          </w:p>
        </w:tc>
        <w:tc>
          <w:tcPr>
            <w:tcW w:w="1073" w:type="pct"/>
            <w:tcBorders>
              <w:top w:val="single" w:color="000000" w:sz="4" w:space="0"/>
              <w:left w:val="single" w:color="auto" w:sz="4" w:space="0"/>
              <w:bottom w:val="single" w:color="000000" w:sz="4" w:space="0"/>
              <w:right w:val="single" w:color="000000" w:sz="4" w:space="0"/>
            </w:tcBorders>
            <w:vAlign w:val="center"/>
          </w:tcPr>
          <w:p w14:paraId="62E3C147">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95</w:t>
            </w:r>
          </w:p>
        </w:tc>
      </w:tr>
      <w:tr w14:paraId="5E9CA77F">
        <w:tblPrEx>
          <w:tblCellMar>
            <w:top w:w="0" w:type="dxa"/>
            <w:left w:w="108" w:type="dxa"/>
            <w:bottom w:w="0" w:type="dxa"/>
            <w:right w:w="108" w:type="dxa"/>
          </w:tblCellMar>
        </w:tblPrEx>
        <w:trPr>
          <w:trHeight w:val="300" w:hRule="atLeast"/>
        </w:trPr>
        <w:tc>
          <w:tcPr>
            <w:tcW w:w="2709" w:type="pct"/>
            <w:tcBorders>
              <w:top w:val="single" w:color="000000" w:sz="4" w:space="0"/>
              <w:left w:val="single" w:color="000000" w:sz="4" w:space="0"/>
              <w:bottom w:val="single" w:color="000000" w:sz="4" w:space="0"/>
              <w:right w:val="single" w:color="000000" w:sz="4" w:space="0"/>
            </w:tcBorders>
            <w:vAlign w:val="center"/>
          </w:tcPr>
          <w:p w14:paraId="2B3C22C4">
            <w:pPr>
              <w:keepNext w:val="0"/>
              <w:keepLines w:val="0"/>
              <w:pageBreakBefore w:val="0"/>
              <w:widowControl w:val="0"/>
              <w:kinsoku/>
              <w:wordWrap/>
              <w:overflowPunct w:val="0"/>
              <w:topLinePunct w:val="0"/>
              <w:autoSpaceDE/>
              <w:autoSpaceDN/>
              <w:bidi w:val="0"/>
              <w:ind w:left="0" w:leftChars="0" w:right="0" w:rightChars="0"/>
              <w:jc w:val="both"/>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桂花与梧桐资源收集与种质创新</w:t>
            </w:r>
          </w:p>
        </w:tc>
        <w:tc>
          <w:tcPr>
            <w:tcW w:w="649" w:type="pct"/>
            <w:tcBorders>
              <w:top w:val="single" w:color="000000" w:sz="4" w:space="0"/>
              <w:left w:val="single" w:color="auto" w:sz="4" w:space="0"/>
              <w:bottom w:val="single" w:color="000000" w:sz="4" w:space="0"/>
              <w:right w:val="single" w:color="000000" w:sz="4" w:space="0"/>
            </w:tcBorders>
            <w:vAlign w:val="center"/>
          </w:tcPr>
          <w:p w14:paraId="3D0E8302">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2024</w:t>
            </w:r>
          </w:p>
        </w:tc>
        <w:tc>
          <w:tcPr>
            <w:tcW w:w="567" w:type="pct"/>
            <w:tcBorders>
              <w:top w:val="single" w:color="000000" w:sz="4" w:space="0"/>
              <w:left w:val="single" w:color="000000" w:sz="4" w:space="0"/>
              <w:bottom w:val="single" w:color="000000" w:sz="4" w:space="0"/>
              <w:right w:val="single" w:color="auto" w:sz="4" w:space="0"/>
            </w:tcBorders>
            <w:vAlign w:val="center"/>
          </w:tcPr>
          <w:p w14:paraId="70C4BA57">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文亚峰</w:t>
            </w:r>
          </w:p>
        </w:tc>
        <w:tc>
          <w:tcPr>
            <w:tcW w:w="1073" w:type="pct"/>
            <w:tcBorders>
              <w:top w:val="single" w:color="000000" w:sz="4" w:space="0"/>
              <w:left w:val="single" w:color="auto" w:sz="4" w:space="0"/>
              <w:bottom w:val="single" w:color="000000" w:sz="4" w:space="0"/>
              <w:right w:val="single" w:color="000000" w:sz="4" w:space="0"/>
            </w:tcBorders>
            <w:vAlign w:val="center"/>
          </w:tcPr>
          <w:p w14:paraId="462D9AE9">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30</w:t>
            </w:r>
          </w:p>
        </w:tc>
      </w:tr>
      <w:tr w14:paraId="5194BD0C">
        <w:tblPrEx>
          <w:tblCellMar>
            <w:top w:w="0" w:type="dxa"/>
            <w:left w:w="108" w:type="dxa"/>
            <w:bottom w:w="0" w:type="dxa"/>
            <w:right w:w="108" w:type="dxa"/>
          </w:tblCellMar>
        </w:tblPrEx>
        <w:trPr>
          <w:trHeight w:val="300" w:hRule="atLeast"/>
        </w:trPr>
        <w:tc>
          <w:tcPr>
            <w:tcW w:w="2709" w:type="pct"/>
            <w:tcBorders>
              <w:top w:val="single" w:color="000000" w:sz="4" w:space="0"/>
              <w:left w:val="single" w:color="000000" w:sz="4" w:space="0"/>
              <w:bottom w:val="single" w:color="000000" w:sz="4" w:space="0"/>
              <w:right w:val="single" w:color="000000" w:sz="4" w:space="0"/>
            </w:tcBorders>
            <w:vAlign w:val="center"/>
          </w:tcPr>
          <w:p w14:paraId="3BAA2692">
            <w:pPr>
              <w:keepNext w:val="0"/>
              <w:keepLines w:val="0"/>
              <w:pageBreakBefore w:val="0"/>
              <w:widowControl w:val="0"/>
              <w:kinsoku/>
              <w:wordWrap/>
              <w:overflowPunct w:val="0"/>
              <w:topLinePunct w:val="0"/>
              <w:autoSpaceDE/>
              <w:autoSpaceDN/>
              <w:bidi w:val="0"/>
              <w:ind w:left="0" w:leftChars="0" w:right="0" w:rightChars="0"/>
              <w:jc w:val="both"/>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湘潭市十五五林业发展规划</w:t>
            </w:r>
          </w:p>
        </w:tc>
        <w:tc>
          <w:tcPr>
            <w:tcW w:w="649" w:type="pct"/>
            <w:tcBorders>
              <w:top w:val="single" w:color="000000" w:sz="4" w:space="0"/>
              <w:left w:val="single" w:color="auto" w:sz="4" w:space="0"/>
              <w:bottom w:val="single" w:color="000000" w:sz="4" w:space="0"/>
              <w:right w:val="single" w:color="000000" w:sz="4" w:space="0"/>
            </w:tcBorders>
            <w:vAlign w:val="center"/>
          </w:tcPr>
          <w:p w14:paraId="09968DAD">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rPr>
            </w:pPr>
            <w:r>
              <w:rPr>
                <w:rFonts w:hint="default" w:ascii="Times New Roman" w:hAnsi="Times New Roman" w:eastAsia="宋体" w:cs="Times New Roman"/>
                <w:color w:val="000000"/>
                <w:kern w:val="0"/>
                <w:szCs w:val="21"/>
                <w:lang w:bidi="ar"/>
              </w:rPr>
              <w:t>2024</w:t>
            </w:r>
          </w:p>
        </w:tc>
        <w:tc>
          <w:tcPr>
            <w:tcW w:w="567" w:type="pct"/>
            <w:tcBorders>
              <w:top w:val="single" w:color="000000" w:sz="4" w:space="0"/>
              <w:left w:val="single" w:color="000000" w:sz="4" w:space="0"/>
              <w:bottom w:val="single" w:color="000000" w:sz="4" w:space="0"/>
              <w:right w:val="single" w:color="auto" w:sz="4" w:space="0"/>
            </w:tcBorders>
            <w:vAlign w:val="center"/>
          </w:tcPr>
          <w:p w14:paraId="6FC5E921">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杨柳青</w:t>
            </w:r>
          </w:p>
        </w:tc>
        <w:tc>
          <w:tcPr>
            <w:tcW w:w="1073" w:type="pct"/>
            <w:tcBorders>
              <w:top w:val="single" w:color="000000" w:sz="4" w:space="0"/>
              <w:left w:val="single" w:color="auto" w:sz="4" w:space="0"/>
              <w:bottom w:val="single" w:color="000000" w:sz="4" w:space="0"/>
              <w:right w:val="single" w:color="000000" w:sz="4" w:space="0"/>
            </w:tcBorders>
            <w:vAlign w:val="center"/>
          </w:tcPr>
          <w:p w14:paraId="168D9B8A">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39</w:t>
            </w:r>
          </w:p>
        </w:tc>
      </w:tr>
      <w:tr w14:paraId="2E1327A3">
        <w:tblPrEx>
          <w:tblCellMar>
            <w:top w:w="0" w:type="dxa"/>
            <w:left w:w="108" w:type="dxa"/>
            <w:bottom w:w="0" w:type="dxa"/>
            <w:right w:w="108" w:type="dxa"/>
          </w:tblCellMar>
        </w:tblPrEx>
        <w:trPr>
          <w:trHeight w:val="300" w:hRule="atLeast"/>
        </w:trPr>
        <w:tc>
          <w:tcPr>
            <w:tcW w:w="2709" w:type="pct"/>
            <w:tcBorders>
              <w:top w:val="single" w:color="000000" w:sz="4" w:space="0"/>
              <w:left w:val="single" w:color="000000" w:sz="4" w:space="0"/>
              <w:bottom w:val="single" w:color="000000" w:sz="4" w:space="0"/>
              <w:right w:val="single" w:color="000000" w:sz="4" w:space="0"/>
            </w:tcBorders>
            <w:vAlign w:val="center"/>
          </w:tcPr>
          <w:p w14:paraId="52254CE0">
            <w:pPr>
              <w:keepNext w:val="0"/>
              <w:keepLines w:val="0"/>
              <w:pageBreakBefore w:val="0"/>
              <w:widowControl w:val="0"/>
              <w:kinsoku/>
              <w:wordWrap/>
              <w:overflowPunct w:val="0"/>
              <w:topLinePunct w:val="0"/>
              <w:autoSpaceDE/>
              <w:autoSpaceDN/>
              <w:bidi w:val="0"/>
              <w:ind w:left="0" w:leftChars="0" w:right="0" w:rightChars="0"/>
              <w:jc w:val="both"/>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海南省林业产业发展总体规划</w:t>
            </w:r>
          </w:p>
        </w:tc>
        <w:tc>
          <w:tcPr>
            <w:tcW w:w="649" w:type="pct"/>
            <w:tcBorders>
              <w:top w:val="single" w:color="000000" w:sz="4" w:space="0"/>
              <w:left w:val="single" w:color="auto" w:sz="4" w:space="0"/>
              <w:bottom w:val="single" w:color="000000" w:sz="4" w:space="0"/>
              <w:right w:val="single" w:color="000000" w:sz="4" w:space="0"/>
            </w:tcBorders>
            <w:vAlign w:val="center"/>
          </w:tcPr>
          <w:p w14:paraId="7C030D34">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rPr>
            </w:pPr>
            <w:r>
              <w:rPr>
                <w:rFonts w:hint="default" w:ascii="Times New Roman" w:hAnsi="Times New Roman" w:eastAsia="宋体" w:cs="Times New Roman"/>
                <w:color w:val="000000"/>
                <w:kern w:val="0"/>
                <w:szCs w:val="21"/>
                <w:lang w:bidi="ar"/>
              </w:rPr>
              <w:t>2024</w:t>
            </w:r>
          </w:p>
        </w:tc>
        <w:tc>
          <w:tcPr>
            <w:tcW w:w="567" w:type="pct"/>
            <w:tcBorders>
              <w:top w:val="single" w:color="000000" w:sz="4" w:space="0"/>
              <w:left w:val="single" w:color="000000" w:sz="4" w:space="0"/>
              <w:bottom w:val="single" w:color="000000" w:sz="4" w:space="0"/>
              <w:right w:val="single" w:color="auto" w:sz="4" w:space="0"/>
            </w:tcBorders>
            <w:vAlign w:val="center"/>
          </w:tcPr>
          <w:p w14:paraId="1C1E904F">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陈亮明</w:t>
            </w:r>
          </w:p>
        </w:tc>
        <w:tc>
          <w:tcPr>
            <w:tcW w:w="1073" w:type="pct"/>
            <w:tcBorders>
              <w:top w:val="single" w:color="000000" w:sz="4" w:space="0"/>
              <w:left w:val="single" w:color="auto" w:sz="4" w:space="0"/>
              <w:bottom w:val="single" w:color="000000" w:sz="4" w:space="0"/>
              <w:right w:val="single" w:color="000000" w:sz="4" w:space="0"/>
            </w:tcBorders>
            <w:vAlign w:val="center"/>
          </w:tcPr>
          <w:p w14:paraId="5B92E975">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25</w:t>
            </w:r>
          </w:p>
        </w:tc>
      </w:tr>
      <w:tr w14:paraId="38590626">
        <w:tblPrEx>
          <w:tblCellMar>
            <w:top w:w="0" w:type="dxa"/>
            <w:left w:w="108" w:type="dxa"/>
            <w:bottom w:w="0" w:type="dxa"/>
            <w:right w:w="108" w:type="dxa"/>
          </w:tblCellMar>
        </w:tblPrEx>
        <w:trPr>
          <w:trHeight w:val="300" w:hRule="atLeast"/>
        </w:trPr>
        <w:tc>
          <w:tcPr>
            <w:tcW w:w="2709" w:type="pct"/>
            <w:tcBorders>
              <w:top w:val="single" w:color="000000" w:sz="4" w:space="0"/>
              <w:left w:val="single" w:color="000000" w:sz="4" w:space="0"/>
              <w:bottom w:val="single" w:color="000000" w:sz="4" w:space="0"/>
              <w:right w:val="single" w:color="000000" w:sz="4" w:space="0"/>
            </w:tcBorders>
            <w:vAlign w:val="center"/>
          </w:tcPr>
          <w:p w14:paraId="2FE474E7">
            <w:pPr>
              <w:keepNext w:val="0"/>
              <w:keepLines w:val="0"/>
              <w:pageBreakBefore w:val="0"/>
              <w:widowControl w:val="0"/>
              <w:kinsoku/>
              <w:wordWrap/>
              <w:overflowPunct w:val="0"/>
              <w:topLinePunct w:val="0"/>
              <w:autoSpaceDE/>
              <w:autoSpaceDN/>
              <w:bidi w:val="0"/>
              <w:ind w:left="0" w:leftChars="0" w:right="0" w:rightChars="0"/>
              <w:jc w:val="both"/>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醴陵仙山公园文旅综合体前期概念策划方案设计</w:t>
            </w:r>
          </w:p>
        </w:tc>
        <w:tc>
          <w:tcPr>
            <w:tcW w:w="649" w:type="pct"/>
            <w:tcBorders>
              <w:top w:val="single" w:color="000000" w:sz="4" w:space="0"/>
              <w:left w:val="single" w:color="auto" w:sz="4" w:space="0"/>
              <w:bottom w:val="single" w:color="000000" w:sz="4" w:space="0"/>
              <w:right w:val="single" w:color="000000" w:sz="4" w:space="0"/>
            </w:tcBorders>
            <w:vAlign w:val="center"/>
          </w:tcPr>
          <w:p w14:paraId="6A658FD7">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rPr>
            </w:pPr>
            <w:r>
              <w:rPr>
                <w:rFonts w:hint="default" w:ascii="Times New Roman" w:hAnsi="Times New Roman" w:eastAsia="宋体" w:cs="Times New Roman"/>
                <w:color w:val="000000"/>
                <w:kern w:val="0"/>
                <w:szCs w:val="21"/>
                <w:lang w:bidi="ar"/>
              </w:rPr>
              <w:t>2024</w:t>
            </w:r>
          </w:p>
        </w:tc>
        <w:tc>
          <w:tcPr>
            <w:tcW w:w="567" w:type="pct"/>
            <w:tcBorders>
              <w:top w:val="single" w:color="000000" w:sz="4" w:space="0"/>
              <w:left w:val="single" w:color="000000" w:sz="4" w:space="0"/>
              <w:bottom w:val="single" w:color="000000" w:sz="4" w:space="0"/>
              <w:right w:val="single" w:color="auto" w:sz="4" w:space="0"/>
            </w:tcBorders>
            <w:vAlign w:val="center"/>
          </w:tcPr>
          <w:p w14:paraId="554C27B6">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刘破浪</w:t>
            </w:r>
          </w:p>
        </w:tc>
        <w:tc>
          <w:tcPr>
            <w:tcW w:w="1073" w:type="pct"/>
            <w:tcBorders>
              <w:top w:val="single" w:color="000000" w:sz="4" w:space="0"/>
              <w:left w:val="single" w:color="auto" w:sz="4" w:space="0"/>
              <w:bottom w:val="single" w:color="000000" w:sz="4" w:space="0"/>
              <w:right w:val="single" w:color="000000" w:sz="4" w:space="0"/>
            </w:tcBorders>
            <w:vAlign w:val="center"/>
          </w:tcPr>
          <w:p w14:paraId="659C4D94">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20</w:t>
            </w:r>
          </w:p>
        </w:tc>
      </w:tr>
      <w:tr w14:paraId="161CAF95">
        <w:tblPrEx>
          <w:tblCellMar>
            <w:top w:w="0" w:type="dxa"/>
            <w:left w:w="108" w:type="dxa"/>
            <w:bottom w:w="0" w:type="dxa"/>
            <w:right w:w="108" w:type="dxa"/>
          </w:tblCellMar>
        </w:tblPrEx>
        <w:trPr>
          <w:trHeight w:val="300" w:hRule="atLeast"/>
        </w:trPr>
        <w:tc>
          <w:tcPr>
            <w:tcW w:w="2709" w:type="pct"/>
            <w:tcBorders>
              <w:top w:val="single" w:color="000000" w:sz="4" w:space="0"/>
              <w:left w:val="single" w:color="000000" w:sz="4" w:space="0"/>
              <w:bottom w:val="single" w:color="000000" w:sz="4" w:space="0"/>
              <w:right w:val="single" w:color="000000" w:sz="4" w:space="0"/>
            </w:tcBorders>
            <w:vAlign w:val="center"/>
          </w:tcPr>
          <w:p w14:paraId="4A4DC269">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jc w:val="both"/>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海南省环岛管网文昌—琼海—三亚输气管道工程使用林地可行性研究报告编制服务（第三期）</w:t>
            </w:r>
          </w:p>
        </w:tc>
        <w:tc>
          <w:tcPr>
            <w:tcW w:w="649" w:type="pct"/>
            <w:tcBorders>
              <w:top w:val="single" w:color="000000" w:sz="4" w:space="0"/>
              <w:left w:val="single" w:color="auto" w:sz="4" w:space="0"/>
              <w:bottom w:val="single" w:color="000000" w:sz="4" w:space="0"/>
              <w:right w:val="single" w:color="000000" w:sz="4" w:space="0"/>
            </w:tcBorders>
            <w:vAlign w:val="center"/>
          </w:tcPr>
          <w:p w14:paraId="2428117C">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rPr>
            </w:pPr>
            <w:r>
              <w:rPr>
                <w:rFonts w:hint="default" w:ascii="Times New Roman" w:hAnsi="Times New Roman" w:eastAsia="宋体" w:cs="Times New Roman"/>
                <w:color w:val="000000"/>
                <w:kern w:val="0"/>
                <w:szCs w:val="21"/>
                <w:lang w:bidi="ar"/>
              </w:rPr>
              <w:t>2024</w:t>
            </w:r>
          </w:p>
        </w:tc>
        <w:tc>
          <w:tcPr>
            <w:tcW w:w="567" w:type="pct"/>
            <w:tcBorders>
              <w:top w:val="single" w:color="000000" w:sz="4" w:space="0"/>
              <w:left w:val="single" w:color="000000" w:sz="4" w:space="0"/>
              <w:bottom w:val="single" w:color="000000" w:sz="4" w:space="0"/>
              <w:right w:val="single" w:color="auto" w:sz="4" w:space="0"/>
            </w:tcBorders>
            <w:vAlign w:val="center"/>
          </w:tcPr>
          <w:p w14:paraId="303385A2">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陈楚琳</w:t>
            </w:r>
          </w:p>
        </w:tc>
        <w:tc>
          <w:tcPr>
            <w:tcW w:w="1073" w:type="pct"/>
            <w:tcBorders>
              <w:top w:val="single" w:color="000000" w:sz="4" w:space="0"/>
              <w:left w:val="single" w:color="auto" w:sz="4" w:space="0"/>
              <w:bottom w:val="single" w:color="000000" w:sz="4" w:space="0"/>
              <w:right w:val="single" w:color="000000" w:sz="4" w:space="0"/>
            </w:tcBorders>
            <w:vAlign w:val="center"/>
          </w:tcPr>
          <w:p w14:paraId="439A6B8C">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98.76</w:t>
            </w:r>
          </w:p>
        </w:tc>
      </w:tr>
      <w:tr w14:paraId="729765DD">
        <w:tblPrEx>
          <w:tblCellMar>
            <w:top w:w="0" w:type="dxa"/>
            <w:left w:w="108" w:type="dxa"/>
            <w:bottom w:w="0" w:type="dxa"/>
            <w:right w:w="108" w:type="dxa"/>
          </w:tblCellMar>
        </w:tblPrEx>
        <w:trPr>
          <w:trHeight w:val="300" w:hRule="atLeast"/>
        </w:trPr>
        <w:tc>
          <w:tcPr>
            <w:tcW w:w="2709" w:type="pct"/>
            <w:tcBorders>
              <w:top w:val="single" w:color="000000" w:sz="4" w:space="0"/>
              <w:left w:val="single" w:color="000000" w:sz="4" w:space="0"/>
              <w:bottom w:val="single" w:color="000000" w:sz="4" w:space="0"/>
              <w:right w:val="single" w:color="000000" w:sz="4" w:space="0"/>
            </w:tcBorders>
            <w:vAlign w:val="center"/>
          </w:tcPr>
          <w:p w14:paraId="658892CF">
            <w:pPr>
              <w:keepNext w:val="0"/>
              <w:keepLines w:val="0"/>
              <w:pageBreakBefore w:val="0"/>
              <w:widowControl w:val="0"/>
              <w:kinsoku/>
              <w:wordWrap/>
              <w:overflowPunct w:val="0"/>
              <w:topLinePunct w:val="0"/>
              <w:autoSpaceDE/>
              <w:autoSpaceDN/>
              <w:bidi w:val="0"/>
              <w:ind w:left="0" w:leftChars="0" w:right="0" w:rightChars="0"/>
              <w:jc w:val="both"/>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安仁县（2023）省级园林城市复查资料技术服务</w:t>
            </w:r>
          </w:p>
        </w:tc>
        <w:tc>
          <w:tcPr>
            <w:tcW w:w="649" w:type="pct"/>
            <w:tcBorders>
              <w:top w:val="single" w:color="000000" w:sz="4" w:space="0"/>
              <w:left w:val="single" w:color="auto" w:sz="4" w:space="0"/>
              <w:bottom w:val="single" w:color="000000" w:sz="4" w:space="0"/>
              <w:right w:val="single" w:color="000000" w:sz="4" w:space="0"/>
            </w:tcBorders>
            <w:vAlign w:val="center"/>
          </w:tcPr>
          <w:p w14:paraId="43750B6E">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rPr>
            </w:pPr>
            <w:r>
              <w:rPr>
                <w:rFonts w:hint="default" w:ascii="Times New Roman" w:hAnsi="Times New Roman" w:eastAsia="宋体" w:cs="Times New Roman"/>
                <w:color w:val="000000"/>
                <w:kern w:val="0"/>
                <w:szCs w:val="21"/>
                <w:lang w:bidi="ar"/>
              </w:rPr>
              <w:t>2024</w:t>
            </w:r>
          </w:p>
        </w:tc>
        <w:tc>
          <w:tcPr>
            <w:tcW w:w="567" w:type="pct"/>
            <w:tcBorders>
              <w:top w:val="single" w:color="000000" w:sz="4" w:space="0"/>
              <w:left w:val="single" w:color="000000" w:sz="4" w:space="0"/>
              <w:bottom w:val="single" w:color="000000" w:sz="4" w:space="0"/>
              <w:right w:val="single" w:color="auto" w:sz="4" w:space="0"/>
            </w:tcBorders>
            <w:vAlign w:val="center"/>
          </w:tcPr>
          <w:p w14:paraId="7C445AF1">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廖秋林</w:t>
            </w:r>
          </w:p>
        </w:tc>
        <w:tc>
          <w:tcPr>
            <w:tcW w:w="1073" w:type="pct"/>
            <w:tcBorders>
              <w:top w:val="single" w:color="000000" w:sz="4" w:space="0"/>
              <w:left w:val="single" w:color="auto" w:sz="4" w:space="0"/>
              <w:bottom w:val="single" w:color="000000" w:sz="4" w:space="0"/>
              <w:right w:val="single" w:color="000000" w:sz="4" w:space="0"/>
            </w:tcBorders>
            <w:vAlign w:val="center"/>
          </w:tcPr>
          <w:p w14:paraId="6561C38A">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30</w:t>
            </w:r>
          </w:p>
        </w:tc>
      </w:tr>
      <w:tr w14:paraId="6ED46965">
        <w:tblPrEx>
          <w:tblCellMar>
            <w:top w:w="0" w:type="dxa"/>
            <w:left w:w="108" w:type="dxa"/>
            <w:bottom w:w="0" w:type="dxa"/>
            <w:right w:w="108" w:type="dxa"/>
          </w:tblCellMar>
        </w:tblPrEx>
        <w:trPr>
          <w:trHeight w:val="300" w:hRule="atLeast"/>
        </w:trPr>
        <w:tc>
          <w:tcPr>
            <w:tcW w:w="2709" w:type="pct"/>
            <w:tcBorders>
              <w:top w:val="single" w:color="000000" w:sz="4" w:space="0"/>
              <w:left w:val="single" w:color="000000" w:sz="4" w:space="0"/>
              <w:bottom w:val="single" w:color="000000" w:sz="4" w:space="0"/>
              <w:right w:val="single" w:color="000000" w:sz="4" w:space="0"/>
            </w:tcBorders>
            <w:vAlign w:val="center"/>
          </w:tcPr>
          <w:p w14:paraId="352BBC3B">
            <w:pPr>
              <w:keepNext w:val="0"/>
              <w:keepLines w:val="0"/>
              <w:pageBreakBefore w:val="0"/>
              <w:widowControl w:val="0"/>
              <w:kinsoku/>
              <w:wordWrap/>
              <w:overflowPunct w:val="0"/>
              <w:topLinePunct w:val="0"/>
              <w:autoSpaceDE/>
              <w:autoSpaceDN/>
              <w:bidi w:val="0"/>
              <w:ind w:left="0" w:leftChars="0" w:right="0" w:rightChars="0"/>
              <w:jc w:val="both"/>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九嶷山三分石生物多样性专项调查</w:t>
            </w:r>
          </w:p>
        </w:tc>
        <w:tc>
          <w:tcPr>
            <w:tcW w:w="649" w:type="pct"/>
            <w:tcBorders>
              <w:top w:val="single" w:color="000000" w:sz="4" w:space="0"/>
              <w:left w:val="single" w:color="auto" w:sz="4" w:space="0"/>
              <w:bottom w:val="single" w:color="000000" w:sz="4" w:space="0"/>
              <w:right w:val="single" w:color="000000" w:sz="4" w:space="0"/>
            </w:tcBorders>
            <w:vAlign w:val="center"/>
          </w:tcPr>
          <w:p w14:paraId="69E10177">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rPr>
            </w:pPr>
            <w:r>
              <w:rPr>
                <w:rFonts w:hint="default" w:ascii="Times New Roman" w:hAnsi="Times New Roman" w:eastAsia="宋体" w:cs="Times New Roman"/>
                <w:color w:val="000000"/>
                <w:kern w:val="0"/>
                <w:szCs w:val="21"/>
                <w:lang w:bidi="ar"/>
              </w:rPr>
              <w:t>2024</w:t>
            </w:r>
          </w:p>
        </w:tc>
        <w:tc>
          <w:tcPr>
            <w:tcW w:w="567" w:type="pct"/>
            <w:tcBorders>
              <w:top w:val="single" w:color="000000" w:sz="4" w:space="0"/>
              <w:left w:val="single" w:color="000000" w:sz="4" w:space="0"/>
              <w:bottom w:val="single" w:color="000000" w:sz="4" w:space="0"/>
              <w:right w:val="single" w:color="auto" w:sz="4" w:space="0"/>
            </w:tcBorders>
            <w:vAlign w:val="center"/>
          </w:tcPr>
          <w:p w14:paraId="780230DB">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陈存友</w:t>
            </w:r>
          </w:p>
        </w:tc>
        <w:tc>
          <w:tcPr>
            <w:tcW w:w="1073" w:type="pct"/>
            <w:tcBorders>
              <w:top w:val="single" w:color="000000" w:sz="4" w:space="0"/>
              <w:left w:val="single" w:color="auto" w:sz="4" w:space="0"/>
              <w:bottom w:val="single" w:color="000000" w:sz="4" w:space="0"/>
              <w:right w:val="single" w:color="000000" w:sz="4" w:space="0"/>
            </w:tcBorders>
            <w:vAlign w:val="center"/>
          </w:tcPr>
          <w:p w14:paraId="071940B7">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21</w:t>
            </w:r>
          </w:p>
        </w:tc>
      </w:tr>
      <w:tr w14:paraId="7E4BA507">
        <w:tblPrEx>
          <w:tblCellMar>
            <w:top w:w="0" w:type="dxa"/>
            <w:left w:w="108" w:type="dxa"/>
            <w:bottom w:w="0" w:type="dxa"/>
            <w:right w:w="108" w:type="dxa"/>
          </w:tblCellMar>
        </w:tblPrEx>
        <w:trPr>
          <w:trHeight w:val="300" w:hRule="atLeast"/>
        </w:trPr>
        <w:tc>
          <w:tcPr>
            <w:tcW w:w="2709" w:type="pct"/>
            <w:tcBorders>
              <w:top w:val="single" w:color="000000" w:sz="4" w:space="0"/>
              <w:left w:val="single" w:color="000000" w:sz="4" w:space="0"/>
              <w:bottom w:val="single" w:color="000000" w:sz="4" w:space="0"/>
              <w:right w:val="single" w:color="000000" w:sz="4" w:space="0"/>
            </w:tcBorders>
            <w:vAlign w:val="center"/>
          </w:tcPr>
          <w:p w14:paraId="65DC3B61">
            <w:pPr>
              <w:keepNext w:val="0"/>
              <w:keepLines w:val="0"/>
              <w:pageBreakBefore w:val="0"/>
              <w:widowControl w:val="0"/>
              <w:kinsoku/>
              <w:wordWrap/>
              <w:overflowPunct w:val="0"/>
              <w:topLinePunct w:val="0"/>
              <w:autoSpaceDE/>
              <w:autoSpaceDN/>
              <w:bidi w:val="0"/>
              <w:ind w:left="0" w:leftChars="0" w:right="0" w:rightChars="0"/>
              <w:jc w:val="both"/>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江西上犹南湖省重要湿地修复方案</w:t>
            </w:r>
          </w:p>
        </w:tc>
        <w:tc>
          <w:tcPr>
            <w:tcW w:w="649" w:type="pct"/>
            <w:tcBorders>
              <w:top w:val="single" w:color="000000" w:sz="4" w:space="0"/>
              <w:left w:val="single" w:color="auto" w:sz="4" w:space="0"/>
              <w:bottom w:val="single" w:color="000000" w:sz="4" w:space="0"/>
              <w:right w:val="single" w:color="000000" w:sz="4" w:space="0"/>
            </w:tcBorders>
            <w:vAlign w:val="center"/>
          </w:tcPr>
          <w:p w14:paraId="4CDEE376">
            <w:pPr>
              <w:keepNext w:val="0"/>
              <w:keepLines w:val="0"/>
              <w:pageBreakBefore w:val="0"/>
              <w:widowControl w:val="0"/>
              <w:kinsoku/>
              <w:wordWrap/>
              <w:overflowPunct w:val="0"/>
              <w:topLinePunct w:val="0"/>
              <w:autoSpaceDE/>
              <w:autoSpaceDN/>
              <w:bidi w:val="0"/>
              <w:ind w:left="0" w:leftChars="0" w:right="0" w:rightChars="0"/>
              <w:jc w:val="center"/>
              <w:rPr>
                <w:rFonts w:hint="default" w:ascii="Times New Roman" w:hAnsi="Times New Roman" w:cs="Times New Roman"/>
              </w:rPr>
            </w:pPr>
            <w:r>
              <w:rPr>
                <w:rFonts w:hint="default" w:ascii="Times New Roman" w:hAnsi="Times New Roman" w:eastAsia="宋体" w:cs="Times New Roman"/>
                <w:color w:val="000000"/>
                <w:kern w:val="0"/>
                <w:szCs w:val="21"/>
                <w:lang w:bidi="ar"/>
              </w:rPr>
              <w:t>2024</w:t>
            </w:r>
          </w:p>
        </w:tc>
        <w:tc>
          <w:tcPr>
            <w:tcW w:w="567" w:type="pct"/>
            <w:tcBorders>
              <w:top w:val="single" w:color="000000" w:sz="4" w:space="0"/>
              <w:left w:val="single" w:color="000000" w:sz="4" w:space="0"/>
              <w:bottom w:val="single" w:color="000000" w:sz="4" w:space="0"/>
              <w:right w:val="single" w:color="auto" w:sz="4" w:space="0"/>
            </w:tcBorders>
            <w:vAlign w:val="center"/>
          </w:tcPr>
          <w:p w14:paraId="1DC8FCF0">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陈存友</w:t>
            </w:r>
          </w:p>
        </w:tc>
        <w:tc>
          <w:tcPr>
            <w:tcW w:w="1073" w:type="pct"/>
            <w:tcBorders>
              <w:top w:val="single" w:color="000000" w:sz="4" w:space="0"/>
              <w:left w:val="single" w:color="auto" w:sz="4" w:space="0"/>
              <w:bottom w:val="single" w:color="000000" w:sz="4" w:space="0"/>
              <w:right w:val="single" w:color="000000" w:sz="4" w:space="0"/>
            </w:tcBorders>
            <w:vAlign w:val="center"/>
          </w:tcPr>
          <w:p w14:paraId="429C3936">
            <w:pPr>
              <w:keepNext w:val="0"/>
              <w:keepLines w:val="0"/>
              <w:pageBreakBefore w:val="0"/>
              <w:widowControl w:val="0"/>
              <w:kinsoku/>
              <w:wordWrap/>
              <w:overflowPunct w:val="0"/>
              <w:topLinePunct w:val="0"/>
              <w:autoSpaceDE/>
              <w:autoSpaceDN/>
              <w:bidi w:val="0"/>
              <w:ind w:left="0" w:leftChars="0" w:right="0" w:rightChars="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20</w:t>
            </w:r>
          </w:p>
        </w:tc>
      </w:tr>
    </w:tbl>
    <w:p w14:paraId="6A24EF9D">
      <w:pPr>
        <w:pStyle w:val="4"/>
        <w:keepNext w:val="0"/>
        <w:keepLines w:val="0"/>
        <w:pageBreakBefore w:val="0"/>
        <w:widowControl w:val="0"/>
        <w:kinsoku/>
        <w:wordWrap/>
        <w:overflowPunct w:val="0"/>
        <w:topLinePunct w:val="0"/>
        <w:autoSpaceDE/>
        <w:autoSpaceDN/>
        <w:bidi w:val="0"/>
        <w:adjustRightInd/>
        <w:snapToGrid w:val="0"/>
        <w:spacing w:before="132" w:beforeLines="30" w:line="360" w:lineRule="auto"/>
        <w:ind w:left="0" w:leftChars="0" w:right="0" w:rightChars="0" w:firstLine="560" w:firstLineChars="200"/>
        <w:jc w:val="left"/>
        <w:textAlignment w:val="auto"/>
        <w:rPr>
          <w:rFonts w:hint="default" w:ascii="黑体" w:hAnsi="黑体" w:eastAsia="黑体" w:cs="黑体"/>
          <w:b w:val="0"/>
          <w:bCs/>
          <w:sz w:val="28"/>
          <w:szCs w:val="28"/>
          <w:lang w:val="en-US" w:eastAsia="zh-CN"/>
        </w:rPr>
      </w:pPr>
      <w:bookmarkStart w:id="12" w:name="_Toc5347"/>
      <w:r>
        <w:rPr>
          <w:rFonts w:hint="eastAsia"/>
          <w:b w:val="0"/>
          <w:bCs/>
          <w:sz w:val="28"/>
          <w:szCs w:val="28"/>
          <w:lang w:eastAsia="zh-CN"/>
        </w:rPr>
        <w:t>（</w:t>
      </w:r>
      <w:r>
        <w:rPr>
          <w:rFonts w:hint="eastAsia"/>
          <w:b w:val="0"/>
          <w:bCs/>
          <w:sz w:val="28"/>
          <w:szCs w:val="28"/>
          <w:lang w:val="en-US" w:eastAsia="zh-CN"/>
        </w:rPr>
        <w:t>四</w:t>
      </w:r>
      <w:r>
        <w:rPr>
          <w:rFonts w:hint="eastAsia"/>
          <w:b w:val="0"/>
          <w:bCs/>
          <w:sz w:val="28"/>
          <w:szCs w:val="28"/>
          <w:lang w:eastAsia="zh-CN"/>
        </w:rPr>
        <w:t>）</w:t>
      </w:r>
      <w:r>
        <w:rPr>
          <w:rFonts w:hint="default" w:ascii="黑体" w:hAnsi="黑体" w:eastAsia="黑体" w:cs="黑体"/>
          <w:b w:val="0"/>
          <w:bCs/>
          <w:sz w:val="28"/>
          <w:szCs w:val="28"/>
          <w:lang w:val="en-US" w:eastAsia="zh-CN"/>
        </w:rPr>
        <w:t>国际合作交流</w:t>
      </w:r>
      <w:bookmarkEnd w:id="12"/>
    </w:p>
    <w:p w14:paraId="7B2B46E8">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firstLine="480" w:firstLineChars="200"/>
        <w:jc w:val="left"/>
        <w:textAlignment w:val="auto"/>
        <w:outlineLvl w:val="2"/>
        <w:rPr>
          <w:rStyle w:val="27"/>
          <w:rFonts w:hint="default" w:ascii="Times New Roman" w:hAnsi="Times New Roman" w:eastAsia="黑体" w:cs="Times New Roman"/>
          <w:b w:val="0"/>
          <w:bCs/>
          <w:sz w:val="24"/>
          <w:szCs w:val="24"/>
          <w:lang w:val="en-US" w:eastAsia="zh-CN"/>
        </w:rPr>
      </w:pPr>
      <w:r>
        <w:rPr>
          <w:rStyle w:val="27"/>
          <w:rFonts w:hint="default" w:ascii="Times New Roman" w:hAnsi="Times New Roman" w:eastAsia="黑体" w:cs="Times New Roman"/>
          <w:b w:val="0"/>
          <w:bCs/>
          <w:sz w:val="24"/>
          <w:szCs w:val="24"/>
          <w:lang w:val="en-US" w:eastAsia="zh-CN"/>
        </w:rPr>
        <w:t>1.教师国际合作交流</w:t>
      </w:r>
    </w:p>
    <w:p w14:paraId="71992B20">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学位点注重与高水平</w:t>
      </w:r>
      <w:r>
        <w:rPr>
          <w:rFonts w:hint="eastAsia" w:ascii="宋体" w:hAnsi="宋体" w:eastAsia="宋体" w:cs="宋体"/>
          <w:color w:val="000000"/>
          <w:kern w:val="0"/>
          <w:sz w:val="24"/>
          <w:szCs w:val="24"/>
          <w:lang w:bidi="ar"/>
        </w:rPr>
        <w:t>大学和科研机构的实质性学术交流与合作，积极推进高层次人才培养，努力提升学位点的社会影响力。学位点聘请美国乔治亚大学张冬林教授担任指导教师，并参与部分研究生课程。同时学位点坚持以 “走出去”与“请进来”相结合的方式加强国内外学术交流活动，不定期邀请专家来院开展学术</w:t>
      </w:r>
      <w:r>
        <w:rPr>
          <w:rFonts w:hint="default" w:ascii="Times New Roman" w:hAnsi="Times New Roman" w:eastAsia="宋体" w:cs="Times New Roman"/>
          <w:color w:val="000000"/>
          <w:kern w:val="0"/>
          <w:sz w:val="24"/>
          <w:szCs w:val="24"/>
          <w:lang w:bidi="ar"/>
        </w:rPr>
        <w:t>讲座。学科教师参加中国风景园林学会学术会议、生态学大会等国际学术会议10余人次，邀请美国乔治亚大学张冬林教授等国内外专家学者讲学交流8人次。</w:t>
      </w:r>
    </w:p>
    <w:p w14:paraId="605BB4C5">
      <w:pPr>
        <w:keepNext w:val="0"/>
        <w:keepLines w:val="0"/>
        <w:pageBreakBefore w:val="0"/>
        <w:widowControl w:val="0"/>
        <w:kinsoku/>
        <w:wordWrap/>
        <w:overflowPunct w:val="0"/>
        <w:topLinePunct w:val="0"/>
        <w:autoSpaceDE/>
        <w:autoSpaceDN/>
        <w:bidi w:val="0"/>
        <w:adjustRightInd w:val="0"/>
        <w:ind w:left="0" w:leftChars="0" w:right="0" w:rightChars="0"/>
        <w:jc w:val="center"/>
        <w:rPr>
          <w:rFonts w:hint="default" w:ascii="Times New Roman" w:hAnsi="Times New Roman" w:cs="Times New Roman" w:eastAsiaTheme="majorEastAsia"/>
          <w:b/>
          <w:color w:val="000000"/>
          <w:szCs w:val="21"/>
        </w:rPr>
      </w:pPr>
      <w:r>
        <w:rPr>
          <w:rFonts w:hint="default" w:ascii="Times New Roman" w:hAnsi="Times New Roman" w:eastAsia="宋体" w:cs="Times New Roman"/>
          <w:b/>
          <w:color w:val="000000"/>
          <w:szCs w:val="21"/>
        </w:rPr>
        <w:t>表14  教师参加</w:t>
      </w:r>
      <w:r>
        <w:rPr>
          <w:rFonts w:hint="default" w:ascii="Times New Roman" w:hAnsi="Times New Roman" w:eastAsia="宋体" w:cs="Times New Roman"/>
          <w:b/>
          <w:color w:val="000000"/>
          <w:szCs w:val="21"/>
          <w:lang w:val="en-US" w:eastAsia="zh-CN"/>
        </w:rPr>
        <w:t>国际</w:t>
      </w:r>
      <w:r>
        <w:rPr>
          <w:rFonts w:hint="default" w:ascii="Times New Roman" w:hAnsi="Times New Roman" w:eastAsia="宋体" w:cs="Times New Roman"/>
          <w:b/>
          <w:color w:val="000000"/>
          <w:szCs w:val="21"/>
        </w:rPr>
        <w:t>学术会议情况</w:t>
      </w:r>
    </w:p>
    <w:tbl>
      <w:tblPr>
        <w:tblStyle w:val="12"/>
        <w:tblW w:w="904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8"/>
        <w:gridCol w:w="876"/>
        <w:gridCol w:w="848"/>
        <w:gridCol w:w="1276"/>
        <w:gridCol w:w="1076"/>
        <w:gridCol w:w="1105"/>
        <w:gridCol w:w="905"/>
        <w:gridCol w:w="2375"/>
      </w:tblGrid>
      <w:tr w14:paraId="0436CE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8" w:type="dxa"/>
            <w:vAlign w:val="center"/>
          </w:tcPr>
          <w:p w14:paraId="3752DF20">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序号</w:t>
            </w:r>
          </w:p>
        </w:tc>
        <w:tc>
          <w:tcPr>
            <w:tcW w:w="876" w:type="dxa"/>
            <w:vAlign w:val="center"/>
          </w:tcPr>
          <w:p w14:paraId="2D0F785E">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教师</w:t>
            </w:r>
          </w:p>
          <w:p w14:paraId="1BA076FA">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姓名</w:t>
            </w:r>
          </w:p>
        </w:tc>
        <w:tc>
          <w:tcPr>
            <w:tcW w:w="848" w:type="dxa"/>
            <w:vAlign w:val="center"/>
          </w:tcPr>
          <w:p w14:paraId="7536512E">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职称</w:t>
            </w:r>
          </w:p>
        </w:tc>
        <w:tc>
          <w:tcPr>
            <w:tcW w:w="1276" w:type="dxa"/>
            <w:vAlign w:val="center"/>
          </w:tcPr>
          <w:p w14:paraId="7FD9AE97">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会议名称</w:t>
            </w:r>
          </w:p>
        </w:tc>
        <w:tc>
          <w:tcPr>
            <w:tcW w:w="1076" w:type="dxa"/>
            <w:vAlign w:val="center"/>
          </w:tcPr>
          <w:p w14:paraId="26BC3672">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
                <w:bCs/>
                <w:szCs w:val="21"/>
              </w:rPr>
            </w:pPr>
            <w:r>
              <w:rPr>
                <w:rFonts w:hint="default" w:ascii="Times New Roman" w:hAnsi="Times New Roman" w:cs="Times New Roman" w:eastAsiaTheme="majorEastAsia"/>
                <w:b/>
                <w:bCs/>
                <w:szCs w:val="21"/>
              </w:rPr>
              <w:t>会议级别</w:t>
            </w:r>
          </w:p>
        </w:tc>
        <w:tc>
          <w:tcPr>
            <w:tcW w:w="1105" w:type="dxa"/>
            <w:vAlign w:val="center"/>
          </w:tcPr>
          <w:p w14:paraId="5CCFD167">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
                <w:bCs/>
                <w:szCs w:val="21"/>
              </w:rPr>
            </w:pPr>
            <w:r>
              <w:rPr>
                <w:rFonts w:hint="default" w:ascii="Times New Roman" w:hAnsi="Times New Roman" w:cs="Times New Roman" w:eastAsiaTheme="majorEastAsia"/>
                <w:b/>
                <w:bCs/>
                <w:szCs w:val="21"/>
              </w:rPr>
              <w:t>地点</w:t>
            </w:r>
          </w:p>
        </w:tc>
        <w:tc>
          <w:tcPr>
            <w:tcW w:w="905" w:type="dxa"/>
            <w:vAlign w:val="center"/>
          </w:tcPr>
          <w:p w14:paraId="3DC81696">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时间</w:t>
            </w:r>
          </w:p>
        </w:tc>
        <w:tc>
          <w:tcPr>
            <w:tcW w:w="2375" w:type="dxa"/>
            <w:vAlign w:val="center"/>
          </w:tcPr>
          <w:p w14:paraId="22BEC5CC">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报告名称及形式</w:t>
            </w:r>
          </w:p>
        </w:tc>
      </w:tr>
      <w:tr w14:paraId="4148A0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8" w:type="dxa"/>
            <w:vAlign w:val="center"/>
          </w:tcPr>
          <w:p w14:paraId="49490E82">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1</w:t>
            </w:r>
          </w:p>
        </w:tc>
        <w:tc>
          <w:tcPr>
            <w:tcW w:w="876" w:type="dxa"/>
            <w:vAlign w:val="center"/>
          </w:tcPr>
          <w:p w14:paraId="12BE79FB">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沈守云</w:t>
            </w:r>
          </w:p>
        </w:tc>
        <w:tc>
          <w:tcPr>
            <w:tcW w:w="848" w:type="dxa"/>
            <w:vAlign w:val="center"/>
          </w:tcPr>
          <w:p w14:paraId="305A431D">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教授</w:t>
            </w:r>
          </w:p>
        </w:tc>
        <w:tc>
          <w:tcPr>
            <w:tcW w:w="1276" w:type="dxa"/>
            <w:vAlign w:val="center"/>
          </w:tcPr>
          <w:p w14:paraId="11CD7A77">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中国风景园林学会年会</w:t>
            </w:r>
          </w:p>
        </w:tc>
        <w:tc>
          <w:tcPr>
            <w:tcW w:w="1076" w:type="dxa"/>
            <w:vAlign w:val="center"/>
          </w:tcPr>
          <w:p w14:paraId="12DFF349">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szCs w:val="21"/>
              </w:rPr>
            </w:pPr>
            <w:r>
              <w:rPr>
                <w:rFonts w:hint="default" w:ascii="Times New Roman" w:hAnsi="Times New Roman" w:eastAsia="宋体" w:cs="Times New Roman"/>
                <w:color w:val="000000"/>
                <w:kern w:val="0"/>
                <w:szCs w:val="21"/>
                <w:lang w:bidi="ar"/>
              </w:rPr>
              <w:t>国际会议</w:t>
            </w:r>
          </w:p>
        </w:tc>
        <w:tc>
          <w:tcPr>
            <w:tcW w:w="1105" w:type="dxa"/>
            <w:vAlign w:val="center"/>
          </w:tcPr>
          <w:p w14:paraId="3484F902">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szCs w:val="21"/>
              </w:rPr>
            </w:pPr>
            <w:r>
              <w:rPr>
                <w:rFonts w:hint="default" w:ascii="Times New Roman" w:hAnsi="Times New Roman" w:eastAsia="宋体" w:cs="Times New Roman"/>
                <w:color w:val="000000"/>
                <w:kern w:val="0"/>
                <w:szCs w:val="21"/>
                <w:lang w:bidi="ar"/>
              </w:rPr>
              <w:t>深圳</w:t>
            </w:r>
          </w:p>
        </w:tc>
        <w:tc>
          <w:tcPr>
            <w:tcW w:w="905" w:type="dxa"/>
            <w:vAlign w:val="center"/>
          </w:tcPr>
          <w:p w14:paraId="6C51921F">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202411</w:t>
            </w:r>
          </w:p>
        </w:tc>
        <w:tc>
          <w:tcPr>
            <w:tcW w:w="2375" w:type="dxa"/>
            <w:vAlign w:val="center"/>
          </w:tcPr>
          <w:p w14:paraId="105FABA5">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both"/>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新宋体" w:cs="Times New Roman"/>
                <w:color w:val="000000"/>
                <w:shd w:val="clear" w:color="auto" w:fill="FFFFFF"/>
              </w:rPr>
              <w:t>渔歌鸟鸣：洞庭湖畔乡村的风景之路/口头报告</w:t>
            </w:r>
          </w:p>
        </w:tc>
      </w:tr>
      <w:tr w14:paraId="60C709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8" w:type="dxa"/>
            <w:vAlign w:val="center"/>
          </w:tcPr>
          <w:p w14:paraId="4437171E">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2</w:t>
            </w:r>
          </w:p>
        </w:tc>
        <w:tc>
          <w:tcPr>
            <w:tcW w:w="876" w:type="dxa"/>
            <w:vAlign w:val="center"/>
          </w:tcPr>
          <w:p w14:paraId="107EAA86">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韦宝婧</w:t>
            </w:r>
          </w:p>
        </w:tc>
        <w:tc>
          <w:tcPr>
            <w:tcW w:w="848" w:type="dxa"/>
            <w:vAlign w:val="center"/>
          </w:tcPr>
          <w:p w14:paraId="66609B3D">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讲师</w:t>
            </w:r>
          </w:p>
        </w:tc>
        <w:tc>
          <w:tcPr>
            <w:tcW w:w="1276" w:type="dxa"/>
            <w:vAlign w:val="center"/>
          </w:tcPr>
          <w:p w14:paraId="233054B8">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生态学大学</w:t>
            </w:r>
          </w:p>
        </w:tc>
        <w:tc>
          <w:tcPr>
            <w:tcW w:w="1076" w:type="dxa"/>
            <w:vAlign w:val="center"/>
          </w:tcPr>
          <w:p w14:paraId="102EDD5B">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szCs w:val="21"/>
              </w:rPr>
            </w:pPr>
            <w:r>
              <w:rPr>
                <w:rFonts w:hint="default" w:ascii="Times New Roman" w:hAnsi="Times New Roman" w:eastAsia="宋体" w:cs="Times New Roman"/>
                <w:color w:val="000000"/>
                <w:kern w:val="0"/>
                <w:szCs w:val="21"/>
                <w:lang w:bidi="ar"/>
              </w:rPr>
              <w:t>国际会议</w:t>
            </w:r>
          </w:p>
        </w:tc>
        <w:tc>
          <w:tcPr>
            <w:tcW w:w="1105" w:type="dxa"/>
            <w:vAlign w:val="center"/>
          </w:tcPr>
          <w:p w14:paraId="70EE9C9C">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szCs w:val="21"/>
              </w:rPr>
            </w:pPr>
            <w:r>
              <w:rPr>
                <w:rFonts w:hint="default" w:ascii="Times New Roman" w:hAnsi="Times New Roman" w:eastAsia="宋体" w:cs="Times New Roman"/>
                <w:color w:val="000000"/>
                <w:kern w:val="0"/>
                <w:szCs w:val="21"/>
                <w:lang w:bidi="ar"/>
              </w:rPr>
              <w:t>辽宁沈阳</w:t>
            </w:r>
          </w:p>
        </w:tc>
        <w:tc>
          <w:tcPr>
            <w:tcW w:w="905" w:type="dxa"/>
            <w:vAlign w:val="center"/>
          </w:tcPr>
          <w:p w14:paraId="0CFB017D">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202411</w:t>
            </w:r>
          </w:p>
        </w:tc>
        <w:tc>
          <w:tcPr>
            <w:tcW w:w="2375" w:type="dxa"/>
            <w:vAlign w:val="center"/>
          </w:tcPr>
          <w:p w14:paraId="1474D2C8">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Breaking the poverty trap in an ecologically fragile region through ecological engineering: A close-up look at long-term changes in ecosystem services</w:t>
            </w:r>
            <w:r>
              <w:rPr>
                <w:rFonts w:hint="default" w:ascii="Times New Roman" w:hAnsi="Times New Roman" w:eastAsia="新宋体" w:cs="Times New Roman"/>
                <w:color w:val="000000"/>
                <w:shd w:val="clear" w:color="auto" w:fill="FFFFFF"/>
              </w:rPr>
              <w:t>/口头报告</w:t>
            </w:r>
          </w:p>
        </w:tc>
      </w:tr>
      <w:tr w14:paraId="6AFF76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8" w:type="dxa"/>
            <w:vAlign w:val="center"/>
          </w:tcPr>
          <w:p w14:paraId="20FA48A9">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3</w:t>
            </w:r>
          </w:p>
        </w:tc>
        <w:tc>
          <w:tcPr>
            <w:tcW w:w="876" w:type="dxa"/>
            <w:vAlign w:val="center"/>
          </w:tcPr>
          <w:p w14:paraId="3CC24DAB">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王薇薇</w:t>
            </w:r>
          </w:p>
        </w:tc>
        <w:tc>
          <w:tcPr>
            <w:tcW w:w="848" w:type="dxa"/>
            <w:vAlign w:val="center"/>
          </w:tcPr>
          <w:p w14:paraId="052A5D89">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讲师</w:t>
            </w:r>
          </w:p>
        </w:tc>
        <w:tc>
          <w:tcPr>
            <w:tcW w:w="1276" w:type="dxa"/>
            <w:vAlign w:val="center"/>
          </w:tcPr>
          <w:p w14:paraId="4552FE07">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中国风景园林学会年会</w:t>
            </w:r>
          </w:p>
        </w:tc>
        <w:tc>
          <w:tcPr>
            <w:tcW w:w="1076" w:type="dxa"/>
            <w:vAlign w:val="center"/>
          </w:tcPr>
          <w:p w14:paraId="1BE8214C">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szCs w:val="21"/>
              </w:rPr>
            </w:pPr>
            <w:r>
              <w:rPr>
                <w:rFonts w:hint="default" w:ascii="Times New Roman" w:hAnsi="Times New Roman" w:eastAsia="宋体" w:cs="Times New Roman"/>
                <w:color w:val="000000"/>
                <w:kern w:val="0"/>
                <w:szCs w:val="21"/>
                <w:lang w:bidi="ar"/>
              </w:rPr>
              <w:t>国际会议</w:t>
            </w:r>
          </w:p>
        </w:tc>
        <w:tc>
          <w:tcPr>
            <w:tcW w:w="1105" w:type="dxa"/>
            <w:vAlign w:val="center"/>
          </w:tcPr>
          <w:p w14:paraId="3352106A">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szCs w:val="21"/>
              </w:rPr>
            </w:pPr>
            <w:r>
              <w:rPr>
                <w:rFonts w:hint="default" w:ascii="Times New Roman" w:hAnsi="Times New Roman" w:eastAsia="宋体" w:cs="Times New Roman"/>
                <w:color w:val="000000"/>
                <w:kern w:val="0"/>
                <w:szCs w:val="21"/>
                <w:lang w:bidi="ar"/>
              </w:rPr>
              <w:t>深圳</w:t>
            </w:r>
          </w:p>
        </w:tc>
        <w:tc>
          <w:tcPr>
            <w:tcW w:w="905" w:type="dxa"/>
            <w:vAlign w:val="center"/>
          </w:tcPr>
          <w:p w14:paraId="6E4C8800">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202411</w:t>
            </w:r>
          </w:p>
        </w:tc>
        <w:tc>
          <w:tcPr>
            <w:tcW w:w="2375" w:type="dxa"/>
            <w:vAlign w:val="center"/>
          </w:tcPr>
          <w:p w14:paraId="090A4B82">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新宋体" w:cs="Times New Roman"/>
                <w:color w:val="000000"/>
                <w:shd w:val="clear" w:color="auto" w:fill="FFFFFF"/>
              </w:rPr>
              <w:t>参会</w:t>
            </w:r>
          </w:p>
        </w:tc>
      </w:tr>
      <w:tr w14:paraId="4BE693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8" w:type="dxa"/>
            <w:vAlign w:val="center"/>
          </w:tcPr>
          <w:p w14:paraId="3C39FC5E">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4</w:t>
            </w:r>
          </w:p>
        </w:tc>
        <w:tc>
          <w:tcPr>
            <w:tcW w:w="876" w:type="dxa"/>
            <w:vAlign w:val="center"/>
          </w:tcPr>
          <w:p w14:paraId="7FA9E763">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李大鹏</w:t>
            </w:r>
          </w:p>
        </w:tc>
        <w:tc>
          <w:tcPr>
            <w:tcW w:w="848" w:type="dxa"/>
            <w:vAlign w:val="center"/>
          </w:tcPr>
          <w:p w14:paraId="593C70C8">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color w:val="000000"/>
                <w:kern w:val="0"/>
                <w:szCs w:val="21"/>
                <w:lang w:bidi="ar"/>
              </w:rPr>
              <w:t>讲师</w:t>
            </w:r>
          </w:p>
        </w:tc>
        <w:tc>
          <w:tcPr>
            <w:tcW w:w="1276" w:type="dxa"/>
            <w:vAlign w:val="center"/>
          </w:tcPr>
          <w:p w14:paraId="761204C6">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中国风景园林学会年会</w:t>
            </w:r>
          </w:p>
        </w:tc>
        <w:tc>
          <w:tcPr>
            <w:tcW w:w="1076" w:type="dxa"/>
            <w:vAlign w:val="center"/>
          </w:tcPr>
          <w:p w14:paraId="7DB695CE">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国际会议</w:t>
            </w:r>
          </w:p>
        </w:tc>
        <w:tc>
          <w:tcPr>
            <w:tcW w:w="1105" w:type="dxa"/>
            <w:vAlign w:val="center"/>
          </w:tcPr>
          <w:p w14:paraId="4BB0F5E0">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深圳</w:t>
            </w:r>
          </w:p>
        </w:tc>
        <w:tc>
          <w:tcPr>
            <w:tcW w:w="905" w:type="dxa"/>
            <w:vAlign w:val="center"/>
          </w:tcPr>
          <w:p w14:paraId="5D9F7864">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202411</w:t>
            </w:r>
          </w:p>
        </w:tc>
        <w:tc>
          <w:tcPr>
            <w:tcW w:w="2375" w:type="dxa"/>
            <w:vAlign w:val="center"/>
          </w:tcPr>
          <w:p w14:paraId="3DFBB3CC">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新宋体" w:cs="Times New Roman"/>
                <w:color w:val="000000"/>
                <w:shd w:val="clear" w:color="auto" w:fill="FFFFFF"/>
              </w:rPr>
              <w:t>参会</w:t>
            </w:r>
          </w:p>
        </w:tc>
      </w:tr>
      <w:tr w14:paraId="2B0A03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8" w:type="dxa"/>
            <w:vAlign w:val="center"/>
          </w:tcPr>
          <w:p w14:paraId="38144E23">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5</w:t>
            </w:r>
          </w:p>
        </w:tc>
        <w:tc>
          <w:tcPr>
            <w:tcW w:w="876" w:type="dxa"/>
            <w:vAlign w:val="center"/>
          </w:tcPr>
          <w:p w14:paraId="7E065C6B">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李果</w:t>
            </w:r>
          </w:p>
        </w:tc>
        <w:tc>
          <w:tcPr>
            <w:tcW w:w="848" w:type="dxa"/>
            <w:vAlign w:val="center"/>
          </w:tcPr>
          <w:p w14:paraId="55146E8E">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副教授</w:t>
            </w:r>
          </w:p>
        </w:tc>
        <w:tc>
          <w:tcPr>
            <w:tcW w:w="1276" w:type="dxa"/>
            <w:vAlign w:val="center"/>
          </w:tcPr>
          <w:p w14:paraId="0BE216D4">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中国风景园林学会年会</w:t>
            </w:r>
          </w:p>
        </w:tc>
        <w:tc>
          <w:tcPr>
            <w:tcW w:w="1076" w:type="dxa"/>
            <w:vAlign w:val="center"/>
          </w:tcPr>
          <w:p w14:paraId="7B92834D">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国际会议</w:t>
            </w:r>
          </w:p>
        </w:tc>
        <w:tc>
          <w:tcPr>
            <w:tcW w:w="1105" w:type="dxa"/>
            <w:vAlign w:val="center"/>
          </w:tcPr>
          <w:p w14:paraId="3EC41B55">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深圳</w:t>
            </w:r>
          </w:p>
        </w:tc>
        <w:tc>
          <w:tcPr>
            <w:tcW w:w="905" w:type="dxa"/>
            <w:vAlign w:val="center"/>
          </w:tcPr>
          <w:p w14:paraId="04595730">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202411</w:t>
            </w:r>
          </w:p>
        </w:tc>
        <w:tc>
          <w:tcPr>
            <w:tcW w:w="2375" w:type="dxa"/>
            <w:vAlign w:val="center"/>
          </w:tcPr>
          <w:p w14:paraId="72726E9A">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新宋体" w:cs="Times New Roman"/>
                <w:color w:val="000000"/>
                <w:shd w:val="clear" w:color="auto" w:fill="FFFFFF"/>
              </w:rPr>
            </w:pPr>
            <w:r>
              <w:rPr>
                <w:rFonts w:hint="default" w:ascii="Times New Roman" w:hAnsi="Times New Roman" w:eastAsia="新宋体" w:cs="Times New Roman"/>
                <w:color w:val="000000"/>
                <w:shd w:val="clear" w:color="auto" w:fill="FFFFFF"/>
              </w:rPr>
              <w:t>参会</w:t>
            </w:r>
          </w:p>
        </w:tc>
      </w:tr>
      <w:tr w14:paraId="7A49BC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8" w:type="dxa"/>
            <w:vAlign w:val="center"/>
          </w:tcPr>
          <w:p w14:paraId="01131082">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6</w:t>
            </w:r>
          </w:p>
        </w:tc>
        <w:tc>
          <w:tcPr>
            <w:tcW w:w="876" w:type="dxa"/>
            <w:vAlign w:val="center"/>
          </w:tcPr>
          <w:p w14:paraId="536CEBF8">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王志远</w:t>
            </w:r>
          </w:p>
        </w:tc>
        <w:tc>
          <w:tcPr>
            <w:tcW w:w="848" w:type="dxa"/>
            <w:vAlign w:val="center"/>
          </w:tcPr>
          <w:p w14:paraId="14A57166">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color w:val="000000"/>
                <w:kern w:val="0"/>
                <w:szCs w:val="21"/>
                <w:lang w:bidi="ar"/>
              </w:rPr>
            </w:pPr>
            <w:r>
              <w:rPr>
                <w:rFonts w:hint="default" w:ascii="Times New Roman" w:hAnsi="Times New Roman" w:cs="Times New Roman" w:eastAsiaTheme="majorEastAsia"/>
                <w:bCs/>
                <w:color w:val="000000" w:themeColor="text1"/>
                <w:szCs w:val="21"/>
                <w14:textFill>
                  <w14:solidFill>
                    <w14:schemeClr w14:val="tx1"/>
                  </w14:solidFill>
                </w14:textFill>
              </w:rPr>
              <w:t>副教授</w:t>
            </w:r>
          </w:p>
        </w:tc>
        <w:tc>
          <w:tcPr>
            <w:tcW w:w="1276" w:type="dxa"/>
            <w:vAlign w:val="center"/>
          </w:tcPr>
          <w:p w14:paraId="29FC0F00">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cs="Times New Roman" w:eastAsiaTheme="majorEastAsia"/>
                <w:bCs/>
                <w:color w:val="000000" w:themeColor="text1"/>
                <w:szCs w:val="21"/>
                <w14:textFill>
                  <w14:solidFill>
                    <w14:schemeClr w14:val="tx1"/>
                  </w14:solidFill>
                </w14:textFill>
              </w:rPr>
              <w:t>生态学大学</w:t>
            </w:r>
          </w:p>
        </w:tc>
        <w:tc>
          <w:tcPr>
            <w:tcW w:w="1076" w:type="dxa"/>
            <w:vAlign w:val="center"/>
          </w:tcPr>
          <w:p w14:paraId="45D84EA3">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国际会议</w:t>
            </w:r>
          </w:p>
        </w:tc>
        <w:tc>
          <w:tcPr>
            <w:tcW w:w="1105" w:type="dxa"/>
            <w:vAlign w:val="center"/>
          </w:tcPr>
          <w:p w14:paraId="164DA2AD">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辽宁沈阳</w:t>
            </w:r>
          </w:p>
        </w:tc>
        <w:tc>
          <w:tcPr>
            <w:tcW w:w="905" w:type="dxa"/>
            <w:vAlign w:val="center"/>
          </w:tcPr>
          <w:p w14:paraId="3B668A0F">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202411</w:t>
            </w:r>
          </w:p>
        </w:tc>
        <w:tc>
          <w:tcPr>
            <w:tcW w:w="2375" w:type="dxa"/>
            <w:vAlign w:val="center"/>
          </w:tcPr>
          <w:p w14:paraId="67CB38AA">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新宋体" w:cs="Times New Roman"/>
                <w:color w:val="000000"/>
                <w:shd w:val="clear" w:color="auto" w:fill="FFFFFF"/>
              </w:rPr>
            </w:pPr>
            <w:r>
              <w:rPr>
                <w:rFonts w:hint="default" w:ascii="Times New Roman" w:hAnsi="Times New Roman" w:eastAsia="新宋体" w:cs="Times New Roman"/>
                <w:color w:val="000000"/>
                <w:shd w:val="clear" w:color="auto" w:fill="FFFFFF"/>
              </w:rPr>
              <w:t>参会</w:t>
            </w:r>
          </w:p>
        </w:tc>
      </w:tr>
      <w:tr w14:paraId="413A20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8" w:type="dxa"/>
            <w:vAlign w:val="center"/>
          </w:tcPr>
          <w:p w14:paraId="58A9F3DE">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7</w:t>
            </w:r>
          </w:p>
        </w:tc>
        <w:tc>
          <w:tcPr>
            <w:tcW w:w="876" w:type="dxa"/>
            <w:vAlign w:val="center"/>
          </w:tcPr>
          <w:p w14:paraId="0AFD6AE3">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邱慧</w:t>
            </w:r>
          </w:p>
        </w:tc>
        <w:tc>
          <w:tcPr>
            <w:tcW w:w="848" w:type="dxa"/>
            <w:vAlign w:val="center"/>
          </w:tcPr>
          <w:p w14:paraId="36FA34C5">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color w:val="000000"/>
                <w:kern w:val="0"/>
                <w:szCs w:val="21"/>
                <w:lang w:bidi="ar"/>
              </w:rPr>
              <w:t>副教授</w:t>
            </w:r>
          </w:p>
        </w:tc>
        <w:tc>
          <w:tcPr>
            <w:tcW w:w="1276" w:type="dxa"/>
            <w:vAlign w:val="center"/>
          </w:tcPr>
          <w:p w14:paraId="37C74D26">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中国风景园林学会年会</w:t>
            </w:r>
          </w:p>
        </w:tc>
        <w:tc>
          <w:tcPr>
            <w:tcW w:w="1076" w:type="dxa"/>
            <w:vAlign w:val="center"/>
          </w:tcPr>
          <w:p w14:paraId="73E76DA3">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国际会议</w:t>
            </w:r>
          </w:p>
        </w:tc>
        <w:tc>
          <w:tcPr>
            <w:tcW w:w="1105" w:type="dxa"/>
            <w:vAlign w:val="center"/>
          </w:tcPr>
          <w:p w14:paraId="10660752">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深圳</w:t>
            </w:r>
          </w:p>
        </w:tc>
        <w:tc>
          <w:tcPr>
            <w:tcW w:w="905" w:type="dxa"/>
            <w:vAlign w:val="center"/>
          </w:tcPr>
          <w:p w14:paraId="35338711">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cs="Times New Roman" w:eastAsiaTheme="majorEastAsia"/>
                <w:bCs/>
                <w:color w:val="000000" w:themeColor="text1"/>
                <w:szCs w:val="21"/>
                <w14:textFill>
                  <w14:solidFill>
                    <w14:schemeClr w14:val="tx1"/>
                  </w14:solidFill>
                </w14:textFill>
              </w:rPr>
              <w:t>202411</w:t>
            </w:r>
          </w:p>
        </w:tc>
        <w:tc>
          <w:tcPr>
            <w:tcW w:w="2375" w:type="dxa"/>
            <w:vAlign w:val="center"/>
          </w:tcPr>
          <w:p w14:paraId="14D16C72">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新宋体" w:cs="Times New Roman"/>
                <w:color w:val="000000"/>
                <w:shd w:val="clear" w:color="auto" w:fill="FFFFFF"/>
              </w:rPr>
            </w:pPr>
            <w:r>
              <w:rPr>
                <w:rFonts w:hint="default" w:ascii="Times New Roman" w:hAnsi="Times New Roman" w:eastAsia="新宋体" w:cs="Times New Roman"/>
                <w:color w:val="000000"/>
                <w:shd w:val="clear" w:color="auto" w:fill="FFFFFF"/>
              </w:rPr>
              <w:t>参会</w:t>
            </w:r>
          </w:p>
        </w:tc>
      </w:tr>
      <w:tr w14:paraId="2771CD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8" w:type="dxa"/>
            <w:vAlign w:val="center"/>
          </w:tcPr>
          <w:p w14:paraId="5CE768CC">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8</w:t>
            </w:r>
          </w:p>
        </w:tc>
        <w:tc>
          <w:tcPr>
            <w:tcW w:w="876" w:type="dxa"/>
            <w:vAlign w:val="center"/>
          </w:tcPr>
          <w:p w14:paraId="34AC4D20">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周旭</w:t>
            </w:r>
          </w:p>
        </w:tc>
        <w:tc>
          <w:tcPr>
            <w:tcW w:w="848" w:type="dxa"/>
            <w:vAlign w:val="center"/>
          </w:tcPr>
          <w:p w14:paraId="5117977F">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color w:val="000000"/>
                <w:kern w:val="0"/>
                <w:szCs w:val="21"/>
                <w:lang w:bidi="ar"/>
              </w:rPr>
            </w:pPr>
            <w:r>
              <w:rPr>
                <w:rFonts w:hint="default" w:ascii="Times New Roman" w:hAnsi="Times New Roman" w:cs="Times New Roman" w:eastAsiaTheme="majorEastAsia"/>
                <w:bCs/>
                <w:color w:val="000000" w:themeColor="text1"/>
                <w:szCs w:val="21"/>
                <w14:textFill>
                  <w14:solidFill>
                    <w14:schemeClr w14:val="tx1"/>
                  </w14:solidFill>
                </w14:textFill>
              </w:rPr>
              <w:t>教授</w:t>
            </w:r>
          </w:p>
        </w:tc>
        <w:tc>
          <w:tcPr>
            <w:tcW w:w="1276" w:type="dxa"/>
            <w:vAlign w:val="center"/>
          </w:tcPr>
          <w:p w14:paraId="111BB8EF">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cs="Times New Roman" w:eastAsiaTheme="majorEastAsia"/>
                <w:bCs/>
                <w:color w:val="000000" w:themeColor="text1"/>
                <w:szCs w:val="21"/>
                <w14:textFill>
                  <w14:solidFill>
                    <w14:schemeClr w14:val="tx1"/>
                  </w14:solidFill>
                </w14:textFill>
              </w:rPr>
              <w:t>生态学大学</w:t>
            </w:r>
          </w:p>
        </w:tc>
        <w:tc>
          <w:tcPr>
            <w:tcW w:w="1076" w:type="dxa"/>
            <w:vAlign w:val="center"/>
          </w:tcPr>
          <w:p w14:paraId="6F925B79">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国际会议</w:t>
            </w:r>
          </w:p>
        </w:tc>
        <w:tc>
          <w:tcPr>
            <w:tcW w:w="1105" w:type="dxa"/>
            <w:vAlign w:val="center"/>
          </w:tcPr>
          <w:p w14:paraId="5CCC2911">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辽宁沈阳</w:t>
            </w:r>
          </w:p>
        </w:tc>
        <w:tc>
          <w:tcPr>
            <w:tcW w:w="905" w:type="dxa"/>
            <w:vAlign w:val="center"/>
          </w:tcPr>
          <w:p w14:paraId="1F50519C">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202411</w:t>
            </w:r>
          </w:p>
        </w:tc>
        <w:tc>
          <w:tcPr>
            <w:tcW w:w="2375" w:type="dxa"/>
            <w:vAlign w:val="center"/>
          </w:tcPr>
          <w:p w14:paraId="67579EBE">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新宋体" w:cs="Times New Roman"/>
                <w:color w:val="000000"/>
                <w:shd w:val="clear" w:color="auto" w:fill="FFFFFF"/>
              </w:rPr>
            </w:pPr>
            <w:r>
              <w:rPr>
                <w:rFonts w:hint="default" w:ascii="Times New Roman" w:hAnsi="Times New Roman" w:eastAsia="新宋体" w:cs="Times New Roman"/>
                <w:color w:val="000000"/>
                <w:shd w:val="clear" w:color="auto" w:fill="FFFFFF"/>
              </w:rPr>
              <w:t>参会</w:t>
            </w:r>
          </w:p>
        </w:tc>
      </w:tr>
    </w:tbl>
    <w:p w14:paraId="3047AB00">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p w14:paraId="37098128">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firstLine="480" w:firstLineChars="200"/>
        <w:jc w:val="left"/>
        <w:textAlignment w:val="auto"/>
        <w:outlineLvl w:val="2"/>
        <w:rPr>
          <w:rStyle w:val="27"/>
          <w:rFonts w:hint="default" w:ascii="Times New Roman" w:hAnsi="Times New Roman" w:eastAsia="黑体" w:cs="Times New Roman"/>
          <w:b w:val="0"/>
          <w:bCs/>
          <w:sz w:val="24"/>
          <w:szCs w:val="24"/>
          <w:lang w:val="en-US" w:eastAsia="zh-CN"/>
        </w:rPr>
      </w:pPr>
      <w:r>
        <w:rPr>
          <w:rStyle w:val="27"/>
          <w:rFonts w:hint="default" w:ascii="Times New Roman" w:hAnsi="Times New Roman" w:eastAsia="黑体" w:cs="Times New Roman"/>
          <w:b w:val="0"/>
          <w:bCs/>
          <w:sz w:val="24"/>
          <w:szCs w:val="24"/>
          <w:lang w:val="en-US" w:eastAsia="zh-CN"/>
        </w:rPr>
        <w:t>2.学生国际合作交流</w:t>
      </w:r>
    </w:p>
    <w:p w14:paraId="74ECB1DE">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鼓励研究</w:t>
      </w:r>
      <w:r>
        <w:rPr>
          <w:rFonts w:hint="default" w:ascii="Times New Roman" w:hAnsi="Times New Roman" w:eastAsia="宋体" w:cs="Times New Roman"/>
          <w:color w:val="000000"/>
          <w:kern w:val="0"/>
          <w:sz w:val="24"/>
          <w:szCs w:val="24"/>
          <w:lang w:eastAsia="zh-CN" w:bidi="ar"/>
        </w:rPr>
        <w:t>生</w:t>
      </w:r>
      <w:r>
        <w:rPr>
          <w:rFonts w:hint="default" w:ascii="Times New Roman" w:hAnsi="Times New Roman" w:eastAsia="宋体" w:cs="Times New Roman"/>
          <w:color w:val="000000"/>
          <w:kern w:val="0"/>
          <w:sz w:val="24"/>
          <w:szCs w:val="24"/>
          <w:lang w:bidi="ar"/>
        </w:rPr>
        <w:t>积极参与国内外学术交流，2024年研究生参加国际学术会议6人</w:t>
      </w:r>
      <w:r>
        <w:rPr>
          <w:rFonts w:hint="default" w:ascii="Times New Roman" w:hAnsi="Times New Roman" w:eastAsia="宋体" w:cs="Times New Roman"/>
          <w:color w:val="000000"/>
          <w:kern w:val="0"/>
          <w:sz w:val="24"/>
          <w:szCs w:val="24"/>
          <w:lang w:val="en-US" w:eastAsia="zh-CN" w:bidi="ar"/>
        </w:rPr>
        <w:t>次</w:t>
      </w:r>
      <w:r>
        <w:rPr>
          <w:rFonts w:hint="default" w:ascii="Times New Roman" w:hAnsi="Times New Roman" w:eastAsia="宋体" w:cs="Times New Roman"/>
          <w:color w:val="000000"/>
          <w:kern w:val="0"/>
          <w:sz w:val="24"/>
          <w:szCs w:val="24"/>
          <w:lang w:bidi="ar"/>
        </w:rPr>
        <w:t>。</w:t>
      </w:r>
    </w:p>
    <w:p w14:paraId="1A8A2E5B">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rightChars="0"/>
        <w:jc w:val="center"/>
        <w:textAlignment w:val="auto"/>
        <w:rPr>
          <w:rFonts w:hint="default" w:ascii="Times New Roman" w:hAnsi="Times New Roman" w:cs="Times New Roman" w:eastAsiaTheme="majorEastAsia"/>
          <w:b/>
          <w:color w:val="000000"/>
          <w:szCs w:val="21"/>
        </w:rPr>
      </w:pPr>
      <w:r>
        <w:rPr>
          <w:rFonts w:hint="default" w:ascii="Times New Roman" w:hAnsi="Times New Roman" w:eastAsia="宋体" w:cs="Times New Roman"/>
          <w:b/>
          <w:color w:val="000000"/>
          <w:szCs w:val="21"/>
        </w:rPr>
        <w:t xml:space="preserve">表15  学生参加学术会议情况  </w:t>
      </w:r>
    </w:p>
    <w:tbl>
      <w:tblPr>
        <w:tblStyle w:val="12"/>
        <w:tblW w:w="904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0"/>
        <w:gridCol w:w="950"/>
        <w:gridCol w:w="844"/>
        <w:gridCol w:w="1346"/>
        <w:gridCol w:w="1099"/>
        <w:gridCol w:w="1095"/>
        <w:gridCol w:w="900"/>
        <w:gridCol w:w="2235"/>
      </w:tblGrid>
      <w:tr w14:paraId="107E14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dxa"/>
            <w:vAlign w:val="center"/>
          </w:tcPr>
          <w:p w14:paraId="361CBAD4">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序号</w:t>
            </w:r>
          </w:p>
        </w:tc>
        <w:tc>
          <w:tcPr>
            <w:tcW w:w="950" w:type="dxa"/>
            <w:vAlign w:val="center"/>
          </w:tcPr>
          <w:p w14:paraId="673D7E8C">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学生姓名</w:t>
            </w:r>
          </w:p>
        </w:tc>
        <w:tc>
          <w:tcPr>
            <w:tcW w:w="844" w:type="dxa"/>
            <w:vAlign w:val="center"/>
          </w:tcPr>
          <w:p w14:paraId="7883F65B">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层次</w:t>
            </w:r>
          </w:p>
        </w:tc>
        <w:tc>
          <w:tcPr>
            <w:tcW w:w="1346" w:type="dxa"/>
            <w:vAlign w:val="center"/>
          </w:tcPr>
          <w:p w14:paraId="0C16A217">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会议名称</w:t>
            </w:r>
          </w:p>
        </w:tc>
        <w:tc>
          <w:tcPr>
            <w:tcW w:w="1099" w:type="dxa"/>
            <w:vAlign w:val="center"/>
          </w:tcPr>
          <w:p w14:paraId="6B92FFE1">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会议级别</w:t>
            </w:r>
          </w:p>
        </w:tc>
        <w:tc>
          <w:tcPr>
            <w:tcW w:w="1095" w:type="dxa"/>
            <w:vAlign w:val="center"/>
          </w:tcPr>
          <w:p w14:paraId="7286FE4B">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地点</w:t>
            </w:r>
          </w:p>
        </w:tc>
        <w:tc>
          <w:tcPr>
            <w:tcW w:w="900" w:type="dxa"/>
            <w:vAlign w:val="center"/>
          </w:tcPr>
          <w:p w14:paraId="4B1A041A">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时间</w:t>
            </w:r>
          </w:p>
        </w:tc>
        <w:tc>
          <w:tcPr>
            <w:tcW w:w="2235" w:type="dxa"/>
            <w:vAlign w:val="center"/>
          </w:tcPr>
          <w:p w14:paraId="6639DFEB">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报告名称及形式</w:t>
            </w:r>
          </w:p>
        </w:tc>
      </w:tr>
      <w:tr w14:paraId="74129E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dxa"/>
            <w:vAlign w:val="center"/>
          </w:tcPr>
          <w:p w14:paraId="02F5E684">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1</w:t>
            </w:r>
          </w:p>
        </w:tc>
        <w:tc>
          <w:tcPr>
            <w:tcW w:w="950" w:type="dxa"/>
            <w:vAlign w:val="center"/>
          </w:tcPr>
          <w:p w14:paraId="014C0AFF">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邹薇</w:t>
            </w:r>
          </w:p>
        </w:tc>
        <w:tc>
          <w:tcPr>
            <w:tcW w:w="844" w:type="dxa"/>
            <w:vAlign w:val="center"/>
          </w:tcPr>
          <w:p w14:paraId="7F99C932">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博士</w:t>
            </w:r>
          </w:p>
        </w:tc>
        <w:tc>
          <w:tcPr>
            <w:tcW w:w="1346" w:type="dxa"/>
            <w:vAlign w:val="center"/>
          </w:tcPr>
          <w:p w14:paraId="4B094D59">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lang w:eastAsia="zh-CN"/>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生态学大</w:t>
            </w:r>
            <w:r>
              <w:rPr>
                <w:rFonts w:hint="default" w:ascii="Times New Roman" w:hAnsi="Times New Roman" w:cs="Times New Roman" w:eastAsiaTheme="majorEastAsia"/>
                <w:bCs/>
                <w:color w:val="000000" w:themeColor="text1"/>
                <w:szCs w:val="21"/>
                <w:lang w:eastAsia="zh-CN"/>
                <w14:textFill>
                  <w14:solidFill>
                    <w14:schemeClr w14:val="tx1"/>
                  </w14:solidFill>
                </w14:textFill>
              </w:rPr>
              <w:t>会</w:t>
            </w:r>
          </w:p>
        </w:tc>
        <w:tc>
          <w:tcPr>
            <w:tcW w:w="1099" w:type="dxa"/>
            <w:vAlign w:val="center"/>
          </w:tcPr>
          <w:p w14:paraId="660CF1EE">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国际会议</w:t>
            </w:r>
          </w:p>
        </w:tc>
        <w:tc>
          <w:tcPr>
            <w:tcW w:w="1095" w:type="dxa"/>
            <w:vAlign w:val="center"/>
          </w:tcPr>
          <w:p w14:paraId="69823611">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辽宁沈阳</w:t>
            </w:r>
          </w:p>
        </w:tc>
        <w:tc>
          <w:tcPr>
            <w:tcW w:w="900" w:type="dxa"/>
            <w:vAlign w:val="center"/>
          </w:tcPr>
          <w:p w14:paraId="641382A7">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202411</w:t>
            </w:r>
          </w:p>
        </w:tc>
        <w:tc>
          <w:tcPr>
            <w:tcW w:w="2235" w:type="dxa"/>
            <w:vAlign w:val="center"/>
          </w:tcPr>
          <w:p w14:paraId="40D7CB92">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Evolution of rates, patterns, and driving forces of green eco-spaces in a subtropical hilly region/Poster展示</w:t>
            </w:r>
          </w:p>
        </w:tc>
      </w:tr>
      <w:tr w14:paraId="0AC671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dxa"/>
            <w:vAlign w:val="center"/>
          </w:tcPr>
          <w:p w14:paraId="6BF95673">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2</w:t>
            </w:r>
          </w:p>
        </w:tc>
        <w:tc>
          <w:tcPr>
            <w:tcW w:w="950" w:type="dxa"/>
            <w:vAlign w:val="center"/>
          </w:tcPr>
          <w:p w14:paraId="57765B42">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cs="Times New Roman" w:eastAsiaTheme="majorEastAsia"/>
                <w:bCs/>
                <w:color w:val="000000" w:themeColor="text1"/>
                <w:szCs w:val="21"/>
                <w14:textFill>
                  <w14:solidFill>
                    <w14:schemeClr w14:val="tx1"/>
                  </w14:solidFill>
                </w14:textFill>
              </w:rPr>
              <w:t>肖澎</w:t>
            </w:r>
          </w:p>
        </w:tc>
        <w:tc>
          <w:tcPr>
            <w:tcW w:w="844" w:type="dxa"/>
            <w:vAlign w:val="center"/>
          </w:tcPr>
          <w:p w14:paraId="7297D8F4">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博士</w:t>
            </w:r>
          </w:p>
        </w:tc>
        <w:tc>
          <w:tcPr>
            <w:tcW w:w="1346" w:type="dxa"/>
            <w:vAlign w:val="center"/>
          </w:tcPr>
          <w:p w14:paraId="466AEAA6">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中国风景园林学会年会</w:t>
            </w:r>
          </w:p>
        </w:tc>
        <w:tc>
          <w:tcPr>
            <w:tcW w:w="1099" w:type="dxa"/>
            <w:vAlign w:val="center"/>
          </w:tcPr>
          <w:p w14:paraId="0EB8AC43">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国际会议</w:t>
            </w:r>
          </w:p>
        </w:tc>
        <w:tc>
          <w:tcPr>
            <w:tcW w:w="1095" w:type="dxa"/>
            <w:vAlign w:val="center"/>
          </w:tcPr>
          <w:p w14:paraId="5DB54487">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深圳</w:t>
            </w:r>
          </w:p>
        </w:tc>
        <w:tc>
          <w:tcPr>
            <w:tcW w:w="900" w:type="dxa"/>
            <w:vAlign w:val="center"/>
          </w:tcPr>
          <w:p w14:paraId="0E12E61B">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cs="Times New Roman" w:eastAsiaTheme="majorEastAsia"/>
                <w:bCs/>
                <w:color w:val="000000" w:themeColor="text1"/>
                <w:szCs w:val="21"/>
                <w14:textFill>
                  <w14:solidFill>
                    <w14:schemeClr w14:val="tx1"/>
                  </w14:solidFill>
                </w14:textFill>
              </w:rPr>
              <w:t>202411</w:t>
            </w:r>
          </w:p>
        </w:tc>
        <w:tc>
          <w:tcPr>
            <w:tcW w:w="2235" w:type="dxa"/>
            <w:vAlign w:val="center"/>
          </w:tcPr>
          <w:p w14:paraId="06126557">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新宋体" w:cs="Times New Roman"/>
                <w:color w:val="000000"/>
                <w:shd w:val="clear" w:color="auto" w:fill="FFFFFF"/>
              </w:rPr>
              <w:t>参会</w:t>
            </w:r>
          </w:p>
        </w:tc>
      </w:tr>
      <w:tr w14:paraId="2D0C2C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dxa"/>
            <w:vAlign w:val="center"/>
          </w:tcPr>
          <w:p w14:paraId="6B75770B">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3</w:t>
            </w:r>
          </w:p>
        </w:tc>
        <w:tc>
          <w:tcPr>
            <w:tcW w:w="950" w:type="dxa"/>
            <w:vAlign w:val="center"/>
          </w:tcPr>
          <w:p w14:paraId="1464D417">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cs="Times New Roman" w:eastAsiaTheme="majorEastAsia"/>
                <w:bCs/>
                <w:color w:val="000000" w:themeColor="text1"/>
                <w:szCs w:val="21"/>
                <w14:textFill>
                  <w14:solidFill>
                    <w14:schemeClr w14:val="tx1"/>
                  </w14:solidFill>
                </w14:textFill>
              </w:rPr>
              <w:t>曹宇弛</w:t>
            </w:r>
          </w:p>
        </w:tc>
        <w:tc>
          <w:tcPr>
            <w:tcW w:w="844" w:type="dxa"/>
            <w:vAlign w:val="center"/>
          </w:tcPr>
          <w:p w14:paraId="7B2929D4">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博士</w:t>
            </w:r>
          </w:p>
        </w:tc>
        <w:tc>
          <w:tcPr>
            <w:tcW w:w="1346" w:type="dxa"/>
            <w:vAlign w:val="center"/>
          </w:tcPr>
          <w:p w14:paraId="7536A20C">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中国风景园林学会年会</w:t>
            </w:r>
          </w:p>
        </w:tc>
        <w:tc>
          <w:tcPr>
            <w:tcW w:w="1099" w:type="dxa"/>
            <w:vAlign w:val="center"/>
          </w:tcPr>
          <w:p w14:paraId="4BF3A643">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国际会议</w:t>
            </w:r>
          </w:p>
        </w:tc>
        <w:tc>
          <w:tcPr>
            <w:tcW w:w="1095" w:type="dxa"/>
            <w:vAlign w:val="center"/>
          </w:tcPr>
          <w:p w14:paraId="5D3E3493">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深圳</w:t>
            </w:r>
          </w:p>
        </w:tc>
        <w:tc>
          <w:tcPr>
            <w:tcW w:w="900" w:type="dxa"/>
            <w:vAlign w:val="center"/>
          </w:tcPr>
          <w:p w14:paraId="3673DC3F">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202411</w:t>
            </w:r>
          </w:p>
        </w:tc>
        <w:tc>
          <w:tcPr>
            <w:tcW w:w="2235" w:type="dxa"/>
            <w:vAlign w:val="center"/>
          </w:tcPr>
          <w:p w14:paraId="15D5257F">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新宋体" w:cs="Times New Roman"/>
                <w:color w:val="000000"/>
                <w:shd w:val="clear" w:color="auto" w:fill="FFFFFF"/>
              </w:rPr>
              <w:t>参会</w:t>
            </w:r>
          </w:p>
        </w:tc>
      </w:tr>
      <w:tr w14:paraId="713614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dxa"/>
            <w:vAlign w:val="center"/>
          </w:tcPr>
          <w:p w14:paraId="025E8775">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4</w:t>
            </w:r>
          </w:p>
        </w:tc>
        <w:tc>
          <w:tcPr>
            <w:tcW w:w="950" w:type="dxa"/>
            <w:vAlign w:val="center"/>
          </w:tcPr>
          <w:p w14:paraId="7F7F3944">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余玺</w:t>
            </w:r>
          </w:p>
        </w:tc>
        <w:tc>
          <w:tcPr>
            <w:tcW w:w="844" w:type="dxa"/>
            <w:vAlign w:val="center"/>
          </w:tcPr>
          <w:p w14:paraId="4EC4D486">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硕士</w:t>
            </w:r>
          </w:p>
        </w:tc>
        <w:tc>
          <w:tcPr>
            <w:tcW w:w="1346" w:type="dxa"/>
            <w:vAlign w:val="center"/>
          </w:tcPr>
          <w:p w14:paraId="7019FBF5">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中国风景园林学会年会</w:t>
            </w:r>
          </w:p>
        </w:tc>
        <w:tc>
          <w:tcPr>
            <w:tcW w:w="1099" w:type="dxa"/>
            <w:vAlign w:val="center"/>
          </w:tcPr>
          <w:p w14:paraId="2FE3D9B2">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国际会议</w:t>
            </w:r>
          </w:p>
        </w:tc>
        <w:tc>
          <w:tcPr>
            <w:tcW w:w="1095" w:type="dxa"/>
            <w:vAlign w:val="center"/>
          </w:tcPr>
          <w:p w14:paraId="53234686">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深圳</w:t>
            </w:r>
          </w:p>
        </w:tc>
        <w:tc>
          <w:tcPr>
            <w:tcW w:w="900" w:type="dxa"/>
            <w:vAlign w:val="center"/>
          </w:tcPr>
          <w:p w14:paraId="0B5559C0">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202411</w:t>
            </w:r>
          </w:p>
        </w:tc>
        <w:tc>
          <w:tcPr>
            <w:tcW w:w="2235" w:type="dxa"/>
            <w:vAlign w:val="center"/>
          </w:tcPr>
          <w:p w14:paraId="6460D0C5">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新宋体" w:cs="Times New Roman"/>
                <w:color w:val="000000"/>
                <w:shd w:val="clear" w:color="auto" w:fill="FFFFFF"/>
              </w:rPr>
            </w:pPr>
            <w:r>
              <w:rPr>
                <w:rFonts w:hint="default" w:ascii="Times New Roman" w:hAnsi="Times New Roman" w:eastAsia="新宋体" w:cs="Times New Roman"/>
                <w:color w:val="000000"/>
                <w:shd w:val="clear" w:color="auto" w:fill="FFFFFF"/>
              </w:rPr>
              <w:t>参会</w:t>
            </w:r>
          </w:p>
        </w:tc>
      </w:tr>
      <w:tr w14:paraId="2DC3C8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 w:hRule="atLeast"/>
        </w:trPr>
        <w:tc>
          <w:tcPr>
            <w:tcW w:w="580" w:type="dxa"/>
            <w:vAlign w:val="center"/>
          </w:tcPr>
          <w:p w14:paraId="58C17924">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5</w:t>
            </w:r>
          </w:p>
        </w:tc>
        <w:tc>
          <w:tcPr>
            <w:tcW w:w="950" w:type="dxa"/>
            <w:vAlign w:val="center"/>
          </w:tcPr>
          <w:p w14:paraId="11512F80">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刘露</w:t>
            </w:r>
          </w:p>
        </w:tc>
        <w:tc>
          <w:tcPr>
            <w:tcW w:w="844" w:type="dxa"/>
            <w:vAlign w:val="center"/>
          </w:tcPr>
          <w:p w14:paraId="7297F7AC">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硕士</w:t>
            </w:r>
          </w:p>
        </w:tc>
        <w:tc>
          <w:tcPr>
            <w:tcW w:w="1346" w:type="dxa"/>
            <w:vAlign w:val="center"/>
          </w:tcPr>
          <w:p w14:paraId="4B0567D6">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cs="Times New Roman" w:eastAsiaTheme="majorEastAsia"/>
                <w:bCs/>
                <w:color w:val="000000" w:themeColor="text1"/>
                <w:szCs w:val="21"/>
                <w14:textFill>
                  <w14:solidFill>
                    <w14:schemeClr w14:val="tx1"/>
                  </w14:solidFill>
                </w14:textFill>
              </w:rPr>
              <w:t>生态学大学</w:t>
            </w:r>
          </w:p>
        </w:tc>
        <w:tc>
          <w:tcPr>
            <w:tcW w:w="1099" w:type="dxa"/>
            <w:vAlign w:val="center"/>
          </w:tcPr>
          <w:p w14:paraId="296D5B61">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国际会议</w:t>
            </w:r>
          </w:p>
        </w:tc>
        <w:tc>
          <w:tcPr>
            <w:tcW w:w="1095" w:type="dxa"/>
            <w:vAlign w:val="center"/>
          </w:tcPr>
          <w:p w14:paraId="63575B86">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辽宁沈阳</w:t>
            </w:r>
          </w:p>
        </w:tc>
        <w:tc>
          <w:tcPr>
            <w:tcW w:w="900" w:type="dxa"/>
            <w:vAlign w:val="center"/>
          </w:tcPr>
          <w:p w14:paraId="295F01DE">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202411</w:t>
            </w:r>
          </w:p>
        </w:tc>
        <w:tc>
          <w:tcPr>
            <w:tcW w:w="2235" w:type="dxa"/>
            <w:vAlign w:val="center"/>
          </w:tcPr>
          <w:p w14:paraId="3CD7617D">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eastAsia="新宋体" w:cs="Times New Roman"/>
                <w:color w:val="000000"/>
                <w:shd w:val="clear" w:color="auto" w:fill="FFFFFF"/>
              </w:rPr>
            </w:pPr>
            <w:r>
              <w:rPr>
                <w:rFonts w:hint="default" w:ascii="Times New Roman" w:hAnsi="Times New Roman" w:eastAsia="新宋体" w:cs="Times New Roman"/>
                <w:color w:val="000000"/>
                <w:shd w:val="clear" w:color="auto" w:fill="FFFFFF"/>
              </w:rPr>
              <w:t>参会</w:t>
            </w:r>
          </w:p>
        </w:tc>
      </w:tr>
      <w:tr w14:paraId="2EC02F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580" w:type="dxa"/>
            <w:vAlign w:val="center"/>
          </w:tcPr>
          <w:p w14:paraId="78D79EF8">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6</w:t>
            </w:r>
          </w:p>
        </w:tc>
        <w:tc>
          <w:tcPr>
            <w:tcW w:w="950" w:type="dxa"/>
            <w:vAlign w:val="center"/>
          </w:tcPr>
          <w:p w14:paraId="75E3FF15">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吕心宜</w:t>
            </w:r>
          </w:p>
        </w:tc>
        <w:tc>
          <w:tcPr>
            <w:tcW w:w="844" w:type="dxa"/>
            <w:vAlign w:val="center"/>
          </w:tcPr>
          <w:p w14:paraId="0286AA7B">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硕士</w:t>
            </w:r>
          </w:p>
        </w:tc>
        <w:tc>
          <w:tcPr>
            <w:tcW w:w="1346" w:type="dxa"/>
            <w:vAlign w:val="center"/>
          </w:tcPr>
          <w:p w14:paraId="779C3622">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cs="Times New Roman" w:eastAsiaTheme="majorEastAsia"/>
                <w:bCs/>
                <w:color w:val="000000" w:themeColor="text1"/>
                <w:szCs w:val="21"/>
                <w14:textFill>
                  <w14:solidFill>
                    <w14:schemeClr w14:val="tx1"/>
                  </w14:solidFill>
                </w14:textFill>
              </w:rPr>
              <w:t>生态学大学</w:t>
            </w:r>
          </w:p>
        </w:tc>
        <w:tc>
          <w:tcPr>
            <w:tcW w:w="1099" w:type="dxa"/>
            <w:vAlign w:val="center"/>
          </w:tcPr>
          <w:p w14:paraId="23F7BBCB">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国际会议</w:t>
            </w:r>
          </w:p>
        </w:tc>
        <w:tc>
          <w:tcPr>
            <w:tcW w:w="1095" w:type="dxa"/>
            <w:vAlign w:val="center"/>
          </w:tcPr>
          <w:p w14:paraId="06A626C8">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辽宁沈阳</w:t>
            </w:r>
          </w:p>
        </w:tc>
        <w:tc>
          <w:tcPr>
            <w:tcW w:w="900" w:type="dxa"/>
            <w:vAlign w:val="center"/>
          </w:tcPr>
          <w:p w14:paraId="6EAEF6D0">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宋体" w:cs="Times New Roman"/>
                <w:color w:val="000000"/>
                <w:kern w:val="0"/>
                <w:szCs w:val="21"/>
                <w:lang w:bidi="ar"/>
              </w:rPr>
              <w:t>202411</w:t>
            </w:r>
          </w:p>
        </w:tc>
        <w:tc>
          <w:tcPr>
            <w:tcW w:w="2235" w:type="dxa"/>
            <w:vAlign w:val="center"/>
          </w:tcPr>
          <w:p w14:paraId="2E41C711">
            <w:pPr>
              <w:keepNext w:val="0"/>
              <w:keepLines w:val="0"/>
              <w:pageBreakBefore w:val="0"/>
              <w:widowControl w:val="0"/>
              <w:kinsoku/>
              <w:wordWrap/>
              <w:overflowPunct w:val="0"/>
              <w:topLinePunct w:val="0"/>
              <w:autoSpaceDE/>
              <w:autoSpaceDN/>
              <w:bidi w:val="0"/>
              <w:adjustRightInd w:val="0"/>
              <w:snapToGrid/>
              <w:spacing w:line="320" w:lineRule="exact"/>
              <w:ind w:left="0" w:leftChars="0" w:right="0" w:rightChars="0"/>
              <w:jc w:val="center"/>
              <w:textAlignment w:val="auto"/>
              <w:rPr>
                <w:rFonts w:hint="default" w:ascii="Times New Roman" w:hAnsi="Times New Roman" w:cs="Times New Roman" w:eastAsiaTheme="majorEastAsia"/>
                <w:bCs/>
                <w:color w:val="000000" w:themeColor="text1"/>
                <w:szCs w:val="21"/>
                <w14:textFill>
                  <w14:solidFill>
                    <w14:schemeClr w14:val="tx1"/>
                  </w14:solidFill>
                </w14:textFill>
              </w:rPr>
            </w:pPr>
            <w:r>
              <w:rPr>
                <w:rFonts w:hint="default" w:ascii="Times New Roman" w:hAnsi="Times New Roman" w:eastAsia="新宋体" w:cs="Times New Roman"/>
                <w:color w:val="000000"/>
                <w:shd w:val="clear" w:color="auto" w:fill="FFFFFF"/>
              </w:rPr>
              <w:t>参会</w:t>
            </w:r>
          </w:p>
        </w:tc>
      </w:tr>
    </w:tbl>
    <w:p w14:paraId="799EB2A5">
      <w:pPr>
        <w:pStyle w:val="3"/>
        <w:keepNext w:val="0"/>
        <w:keepLines w:val="0"/>
        <w:pageBreakBefore w:val="0"/>
        <w:widowControl w:val="0"/>
        <w:kinsoku/>
        <w:wordWrap/>
        <w:overflowPunct w:val="0"/>
        <w:topLinePunct w:val="0"/>
        <w:autoSpaceDE/>
        <w:autoSpaceDN/>
        <w:bidi w:val="0"/>
        <w:adjustRightInd/>
        <w:snapToGrid w:val="0"/>
        <w:spacing w:before="132" w:beforeLines="30" w:after="0" w:afterLines="0" w:line="360" w:lineRule="auto"/>
        <w:ind w:left="0" w:leftChars="0" w:right="0" w:rightChars="0"/>
        <w:jc w:val="left"/>
        <w:textAlignment w:val="auto"/>
        <w:rPr>
          <w:rFonts w:hint="eastAsia" w:ascii="黑体" w:hAnsi="黑体" w:eastAsia="黑体" w:cs="黑体"/>
          <w:b w:val="0"/>
          <w:bCs/>
          <w:sz w:val="32"/>
          <w:szCs w:val="32"/>
        </w:rPr>
      </w:pPr>
      <w:bookmarkStart w:id="13" w:name="_Toc3662"/>
      <w:r>
        <w:rPr>
          <w:rFonts w:hint="eastAsia" w:ascii="黑体" w:hAnsi="黑体" w:eastAsia="黑体" w:cs="黑体"/>
          <w:b w:val="0"/>
          <w:bCs/>
          <w:sz w:val="32"/>
          <w:szCs w:val="32"/>
        </w:rPr>
        <w:t>三、质量保障措施</w:t>
      </w:r>
      <w:bookmarkEnd w:id="13"/>
    </w:p>
    <w:p w14:paraId="26067A16">
      <w:pPr>
        <w:pStyle w:val="4"/>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560" w:firstLineChars="200"/>
        <w:jc w:val="left"/>
        <w:textAlignment w:val="auto"/>
        <w:rPr>
          <w:rFonts w:hint="default" w:cs="Times New Roman"/>
          <w:b w:val="0"/>
          <w:bCs/>
          <w:sz w:val="28"/>
          <w:szCs w:val="28"/>
        </w:rPr>
      </w:pPr>
      <w:bookmarkStart w:id="14" w:name="_Toc4412"/>
      <w:r>
        <w:rPr>
          <w:rFonts w:hint="eastAsia"/>
          <w:b w:val="0"/>
          <w:bCs/>
          <w:sz w:val="28"/>
          <w:szCs w:val="28"/>
          <w:lang w:eastAsia="zh-CN"/>
        </w:rPr>
        <w:t>（</w:t>
      </w:r>
      <w:r>
        <w:rPr>
          <w:rFonts w:hint="eastAsia"/>
          <w:b w:val="0"/>
          <w:bCs/>
          <w:sz w:val="28"/>
          <w:szCs w:val="28"/>
          <w:lang w:val="en-US" w:eastAsia="zh-CN"/>
        </w:rPr>
        <w:t>一</w:t>
      </w:r>
      <w:r>
        <w:rPr>
          <w:rFonts w:hint="eastAsia"/>
          <w:b w:val="0"/>
          <w:bCs/>
          <w:sz w:val="28"/>
          <w:szCs w:val="28"/>
          <w:lang w:eastAsia="zh-CN"/>
        </w:rPr>
        <w:t>）</w:t>
      </w:r>
      <w:r>
        <w:rPr>
          <w:rFonts w:hint="default" w:cs="Times New Roman"/>
          <w:b w:val="0"/>
          <w:bCs/>
          <w:sz w:val="28"/>
          <w:szCs w:val="28"/>
        </w:rPr>
        <w:t>组织保障</w:t>
      </w:r>
      <w:bookmarkEnd w:id="14"/>
    </w:p>
    <w:p w14:paraId="469643F1">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学位点以立德树人为根本任务，牢固树立“四个意识”，坚持社会主义办学方向，弘扬社会主义核心价值观。研究生管理实行校院两级管理，学院党委书记负责研究生思想教育和日常管理，强化师风师德建设。进一步完善了学位授权点质量保障体系，建立了从招生、培养、学位授予到就业的全过程质量监控机制。学校出台了《中南林业科技大学研究生教育与学位授予工作细则》等要求，制定《风景园林硕士专业学位研究生培养方案》、《风景园林专业研究生课程教学大纲》、《风景园林学院研究生攻读学位期间学术成果认定细则》等，增强了导师在学生培养环节的责任意识、担当意识和合作意识。学位点在课程考核、中期考核、学位论文盲审和论文答辩等环节严格把关研究生质量。</w:t>
      </w:r>
    </w:p>
    <w:p w14:paraId="77E7482B">
      <w:pPr>
        <w:pStyle w:val="4"/>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560" w:firstLineChars="200"/>
        <w:jc w:val="left"/>
        <w:textAlignment w:val="auto"/>
        <w:rPr>
          <w:rFonts w:hint="default" w:cs="Times New Roman"/>
          <w:b w:val="0"/>
          <w:bCs/>
          <w:sz w:val="28"/>
          <w:szCs w:val="28"/>
        </w:rPr>
      </w:pPr>
      <w:bookmarkStart w:id="15" w:name="_Toc5392"/>
      <w:r>
        <w:rPr>
          <w:rFonts w:hint="eastAsia"/>
          <w:b w:val="0"/>
          <w:bCs/>
          <w:sz w:val="28"/>
          <w:szCs w:val="28"/>
          <w:lang w:eastAsia="zh-CN"/>
        </w:rPr>
        <w:t>（</w:t>
      </w:r>
      <w:r>
        <w:rPr>
          <w:rFonts w:hint="eastAsia"/>
          <w:b w:val="0"/>
          <w:bCs/>
          <w:sz w:val="28"/>
          <w:szCs w:val="28"/>
          <w:lang w:val="en-US" w:eastAsia="zh-CN"/>
        </w:rPr>
        <w:t>二</w:t>
      </w:r>
      <w:r>
        <w:rPr>
          <w:rFonts w:hint="eastAsia"/>
          <w:b w:val="0"/>
          <w:bCs/>
          <w:sz w:val="28"/>
          <w:szCs w:val="28"/>
          <w:lang w:eastAsia="zh-CN"/>
        </w:rPr>
        <w:t>）</w:t>
      </w:r>
      <w:r>
        <w:rPr>
          <w:rFonts w:hint="default" w:cs="Times New Roman"/>
          <w:b w:val="0"/>
          <w:bCs/>
          <w:sz w:val="28"/>
          <w:szCs w:val="28"/>
        </w:rPr>
        <w:t>学风建设</w:t>
      </w:r>
      <w:bookmarkEnd w:id="15"/>
    </w:p>
    <w:p w14:paraId="317B0732">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结合党建工作，引导学生坚定“四个自信”，树立家国情怀。大力加强师德和学风建设，积极举办研究生学术文化活动，营造学术文化氛围。组织青年教师参与高等学校教师岗前培训班学习，对广大青年教师起到了积极的引导和有效地规范作用。根据教育部《关于加强学术道德建设的若干意见》文件精神，积极进行研究生学术道德和学术不端行为管理。学位点成立了教学督导小组，随机检查教学情况，有效地保证了教学效果。</w:t>
      </w:r>
    </w:p>
    <w:p w14:paraId="49284380">
      <w:pPr>
        <w:pStyle w:val="4"/>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560" w:firstLineChars="200"/>
        <w:jc w:val="left"/>
        <w:textAlignment w:val="auto"/>
        <w:rPr>
          <w:rFonts w:hint="default" w:cs="Times New Roman"/>
          <w:b w:val="0"/>
          <w:bCs/>
          <w:sz w:val="28"/>
          <w:szCs w:val="28"/>
        </w:rPr>
      </w:pPr>
      <w:bookmarkStart w:id="16" w:name="_Toc5420"/>
      <w:r>
        <w:rPr>
          <w:rFonts w:hint="eastAsia"/>
          <w:b w:val="0"/>
          <w:bCs/>
          <w:sz w:val="28"/>
          <w:szCs w:val="28"/>
          <w:lang w:eastAsia="zh-CN"/>
        </w:rPr>
        <w:t>（</w:t>
      </w:r>
      <w:r>
        <w:rPr>
          <w:rFonts w:hint="eastAsia"/>
          <w:b w:val="0"/>
          <w:bCs/>
          <w:sz w:val="28"/>
          <w:szCs w:val="28"/>
          <w:lang w:val="en-US" w:eastAsia="zh-CN"/>
        </w:rPr>
        <w:t>三</w:t>
      </w:r>
      <w:r>
        <w:rPr>
          <w:rFonts w:hint="eastAsia"/>
          <w:b w:val="0"/>
          <w:bCs/>
          <w:sz w:val="28"/>
          <w:szCs w:val="28"/>
          <w:lang w:eastAsia="zh-CN"/>
        </w:rPr>
        <w:t>）</w:t>
      </w:r>
      <w:r>
        <w:rPr>
          <w:rFonts w:hint="default" w:cs="Times New Roman"/>
          <w:b w:val="0"/>
          <w:bCs/>
          <w:sz w:val="28"/>
          <w:szCs w:val="28"/>
        </w:rPr>
        <w:t>奖助体系</w:t>
      </w:r>
      <w:bookmarkEnd w:id="16"/>
    </w:p>
    <w:p w14:paraId="06883BC0">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kern w:val="0"/>
          <w:sz w:val="24"/>
          <w:szCs w:val="24"/>
          <w:lang w:bidi="ar"/>
        </w:rPr>
      </w:pPr>
      <w:r>
        <w:rPr>
          <w:rFonts w:hint="eastAsia" w:ascii="宋体" w:hAnsi="宋体" w:eastAsia="宋体" w:cs="宋体"/>
          <w:color w:val="000000"/>
          <w:kern w:val="0"/>
          <w:sz w:val="24"/>
          <w:szCs w:val="24"/>
          <w:lang w:bidi="ar"/>
        </w:rPr>
        <w:t>重视研究生奖助体系的建设，严格执行《中南林业科技大学研究生奖助与评审管理办法》、《中南林业科技大学研究生学业奖学金评定办法》、《学生资助资</w:t>
      </w:r>
      <w:r>
        <w:rPr>
          <w:rFonts w:hint="default" w:ascii="Times New Roman" w:hAnsi="Times New Roman" w:eastAsia="宋体" w:cs="Times New Roman"/>
          <w:color w:val="000000"/>
          <w:kern w:val="0"/>
          <w:sz w:val="24"/>
          <w:szCs w:val="24"/>
          <w:lang w:bidi="ar"/>
        </w:rPr>
        <w:t>金管理办法》、《中南林业科技大学研究生国家奖学金管理办法》等学校有关制度，严格规范评定过程，切实保证研究生各类奖助金评定公平公正透明。国家助学金及助研补助覆盖率达到95%，学业奖学金及校级硕士普通奖学金覆盖率达到84%，执行情况良好。</w:t>
      </w:r>
    </w:p>
    <w:p w14:paraId="440EE5EF">
      <w:pPr>
        <w:pStyle w:val="3"/>
        <w:keepNext w:val="0"/>
        <w:keepLines w:val="0"/>
        <w:pageBreakBefore w:val="0"/>
        <w:widowControl w:val="0"/>
        <w:kinsoku/>
        <w:wordWrap/>
        <w:overflowPunct w:val="0"/>
        <w:topLinePunct w:val="0"/>
        <w:autoSpaceDE/>
        <w:autoSpaceDN/>
        <w:bidi w:val="0"/>
        <w:adjustRightInd/>
        <w:snapToGrid w:val="0"/>
        <w:spacing w:before="0" w:beforeLines="0" w:after="0" w:afterLines="0" w:line="360" w:lineRule="auto"/>
        <w:ind w:left="0" w:leftChars="0" w:right="0" w:rightChars="0"/>
        <w:jc w:val="left"/>
        <w:textAlignment w:val="auto"/>
        <w:rPr>
          <w:rFonts w:hint="default" w:ascii="Times New Roman" w:hAnsi="Times New Roman" w:eastAsia="黑体" w:cs="Times New Roman"/>
          <w:b w:val="0"/>
          <w:bCs/>
          <w:sz w:val="32"/>
          <w:szCs w:val="32"/>
        </w:rPr>
      </w:pPr>
      <w:bookmarkStart w:id="17" w:name="_Toc7619"/>
      <w:r>
        <w:rPr>
          <w:rFonts w:hint="default" w:ascii="Times New Roman" w:hAnsi="Times New Roman" w:eastAsia="黑体" w:cs="Times New Roman"/>
          <w:b w:val="0"/>
          <w:bCs/>
          <w:sz w:val="32"/>
          <w:szCs w:val="32"/>
        </w:rPr>
        <w:t>四、存在问题及下一步建设思路</w:t>
      </w:r>
      <w:bookmarkEnd w:id="17"/>
    </w:p>
    <w:p w14:paraId="6FB941DA">
      <w:pPr>
        <w:pStyle w:val="4"/>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560" w:firstLineChars="200"/>
        <w:jc w:val="left"/>
        <w:textAlignment w:val="auto"/>
        <w:rPr>
          <w:rFonts w:hint="default" w:ascii="Times New Roman" w:hAnsi="Times New Roman" w:cs="Times New Roman"/>
          <w:b w:val="0"/>
          <w:bCs/>
          <w:sz w:val="28"/>
          <w:szCs w:val="28"/>
        </w:rPr>
      </w:pPr>
      <w:bookmarkStart w:id="18" w:name="_Toc9775"/>
      <w:r>
        <w:rPr>
          <w:rFonts w:hint="default" w:ascii="Times New Roman" w:hAnsi="Times New Roman" w:cs="Times New Roman"/>
          <w:b w:val="0"/>
          <w:bCs/>
          <w:sz w:val="28"/>
          <w:szCs w:val="28"/>
          <w:lang w:eastAsia="zh-CN"/>
        </w:rPr>
        <w:t>（</w:t>
      </w:r>
      <w:r>
        <w:rPr>
          <w:rFonts w:hint="default" w:ascii="Times New Roman" w:hAnsi="Times New Roman" w:cs="Times New Roman"/>
          <w:b w:val="0"/>
          <w:bCs/>
          <w:sz w:val="28"/>
          <w:szCs w:val="28"/>
          <w:lang w:val="en-US" w:eastAsia="zh-CN"/>
        </w:rPr>
        <w:t>一</w:t>
      </w:r>
      <w:r>
        <w:rPr>
          <w:rFonts w:hint="default" w:ascii="Times New Roman" w:hAnsi="Times New Roman" w:cs="Times New Roman"/>
          <w:b w:val="0"/>
          <w:bCs/>
          <w:sz w:val="28"/>
          <w:szCs w:val="28"/>
          <w:lang w:eastAsia="zh-CN"/>
        </w:rPr>
        <w:t>）</w:t>
      </w:r>
      <w:r>
        <w:rPr>
          <w:rFonts w:hint="default" w:ascii="Times New Roman" w:hAnsi="Times New Roman" w:cs="Times New Roman"/>
          <w:b w:val="0"/>
          <w:bCs/>
          <w:sz w:val="28"/>
          <w:szCs w:val="28"/>
        </w:rPr>
        <w:t>存在的问题</w:t>
      </w:r>
      <w:bookmarkEnd w:id="18"/>
    </w:p>
    <w:p w14:paraId="40EB820A">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default"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bidi="ar"/>
        </w:rPr>
        <w:t>缺乏高层次拔尖人才</w:t>
      </w:r>
      <w:r>
        <w:rPr>
          <w:rFonts w:hint="eastAsia" w:ascii="宋体" w:hAnsi="宋体" w:eastAsia="宋体" w:cs="宋体"/>
          <w:color w:val="000000"/>
          <w:kern w:val="0"/>
          <w:sz w:val="24"/>
          <w:szCs w:val="24"/>
          <w:lang w:bidi="ar"/>
        </w:rPr>
        <w:t>、领军人才，人才梯队建设不足，省级以上人才培养难，高层次专业技术人才的引进及专业内高层次人才聘任困难，科技创新能力不足。</w:t>
      </w:r>
    </w:p>
    <w:p w14:paraId="5C32585F">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bidi="ar"/>
        </w:rPr>
        <w:t>标志性科研成果、高级别科研项目少。现有团队力量及科研水平对于开展国家级重大课题和获取高水平研究成果的支撑不足。</w:t>
      </w:r>
    </w:p>
    <w:p w14:paraId="7F36249E">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bidi="ar"/>
        </w:rPr>
        <w:t>教师团队社会服务能力需进一步提升，有重大社会影响力的项目有限。</w:t>
      </w:r>
    </w:p>
    <w:p w14:paraId="6ED481B7">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rPr>
      </w:pPr>
      <w:r>
        <w:rPr>
          <w:rFonts w:hint="default"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bidi="ar"/>
        </w:rPr>
        <w:t>国际交流相对较少，没有开展实质性的国际合作科研项目，多以国内交流活动为主。</w:t>
      </w:r>
    </w:p>
    <w:p w14:paraId="1D8EF81B">
      <w:pPr>
        <w:pStyle w:val="4"/>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560" w:firstLineChars="200"/>
        <w:jc w:val="left"/>
        <w:textAlignment w:val="auto"/>
        <w:rPr>
          <w:rFonts w:hint="default" w:cs="Times New Roman"/>
          <w:b w:val="0"/>
          <w:bCs/>
          <w:sz w:val="28"/>
          <w:szCs w:val="28"/>
        </w:rPr>
      </w:pPr>
      <w:bookmarkStart w:id="19" w:name="_Toc12169"/>
      <w:r>
        <w:rPr>
          <w:rFonts w:hint="eastAsia"/>
          <w:b w:val="0"/>
          <w:bCs/>
          <w:sz w:val="28"/>
          <w:szCs w:val="28"/>
          <w:lang w:eastAsia="zh-CN"/>
        </w:rPr>
        <w:t>（</w:t>
      </w:r>
      <w:r>
        <w:rPr>
          <w:rFonts w:hint="eastAsia"/>
          <w:b w:val="0"/>
          <w:bCs/>
          <w:sz w:val="28"/>
          <w:szCs w:val="28"/>
          <w:lang w:val="en-US" w:eastAsia="zh-CN"/>
        </w:rPr>
        <w:t>二</w:t>
      </w:r>
      <w:r>
        <w:rPr>
          <w:rFonts w:hint="eastAsia"/>
          <w:b w:val="0"/>
          <w:bCs/>
          <w:sz w:val="28"/>
          <w:szCs w:val="28"/>
          <w:lang w:eastAsia="zh-CN"/>
        </w:rPr>
        <w:t>）</w:t>
      </w:r>
      <w:r>
        <w:rPr>
          <w:rFonts w:hint="default" w:cs="Times New Roman"/>
          <w:b w:val="0"/>
          <w:bCs/>
          <w:sz w:val="28"/>
          <w:szCs w:val="28"/>
        </w:rPr>
        <w:t>下一步建设思路</w:t>
      </w:r>
      <w:bookmarkEnd w:id="19"/>
    </w:p>
    <w:p w14:paraId="1868E5FB">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bidi="ar"/>
        </w:rPr>
        <w:t>引培并重，打造高水平领军人才和优秀青年人才。以现有研究平台为依托，大力培养中青年拔尖人才，打造领军人才，制定优秀青年人才发展支持计划，对相应科研条件和科研经费给予配套支持，为优秀青年人才快速成长创造条件。</w:t>
      </w:r>
    </w:p>
    <w:p w14:paraId="0912BBAC">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bidi="ar"/>
        </w:rPr>
        <w:t>根据学位点急需发展的重要方向，有针对性引进核心人才，组建创新研究团队，实现人才队伍水平整体提升；立足于优势特色研究方向，进一步整合科研团队，持续科技攻关，强化技术推广，促进成果转化，培育省级以上成果，力争实现省科技进步奖或教学成果奖的突破。</w:t>
      </w:r>
    </w:p>
    <w:p w14:paraId="0052879D">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bidi="ar"/>
        </w:rPr>
        <w:t>引导教师充分认识社会服务能力和科研成果转化的意义，鼓励教师进入科研信息交流的各种平台和技术市场，加强与企事业单位的协作，为风景园林行业的发展和社会经济建设做出更大贡献，实现理论研究成果落地。</w:t>
      </w:r>
    </w:p>
    <w:p w14:paraId="64870EC9">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000000"/>
          <w:kern w:val="0"/>
          <w:sz w:val="24"/>
          <w:szCs w:val="24"/>
          <w:lang w:bidi="ar"/>
        </w:rPr>
      </w:pPr>
      <w:r>
        <w:rPr>
          <w:rFonts w:hint="default"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bidi="ar"/>
        </w:rPr>
        <w:t>支持师生</w:t>
      </w:r>
      <w:r>
        <w:rPr>
          <w:rFonts w:hint="eastAsia" w:ascii="宋体" w:hAnsi="宋体" w:eastAsia="宋体" w:cs="宋体"/>
          <w:color w:val="000000"/>
          <w:kern w:val="0"/>
          <w:sz w:val="24"/>
          <w:szCs w:val="24"/>
          <w:lang w:bidi="ar"/>
        </w:rPr>
        <w:t>加强国际交流，与著名高校、研究院所探索研究生联合培养模式，鼓励教师到世界著名高校或研究单位访学，建立起长期稳定合作关系，支持教师、学生参加高质量国际学术会议。</w:t>
      </w:r>
    </w:p>
    <w:sectPr>
      <w:footerReference r:id="rId3" w:type="default"/>
      <w:pgSz w:w="11906" w:h="16838"/>
      <w:pgMar w:top="1440" w:right="1684" w:bottom="1440" w:left="1797" w:header="851" w:footer="992" w:gutter="0"/>
      <w:pgNumType w:fmt="decimal" w:start="1"/>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FF9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1E08C">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31E08C">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0"/>
  <w:drawingGridVerticalSpacing w:val="21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B2"/>
    <w:rsid w:val="00005ABA"/>
    <w:rsid w:val="0002689F"/>
    <w:rsid w:val="0003659C"/>
    <w:rsid w:val="00041539"/>
    <w:rsid w:val="00042D0D"/>
    <w:rsid w:val="00050313"/>
    <w:rsid w:val="00053972"/>
    <w:rsid w:val="000673A8"/>
    <w:rsid w:val="0007077C"/>
    <w:rsid w:val="00077BB3"/>
    <w:rsid w:val="00080288"/>
    <w:rsid w:val="000810B2"/>
    <w:rsid w:val="00090598"/>
    <w:rsid w:val="000941C1"/>
    <w:rsid w:val="000C1FF4"/>
    <w:rsid w:val="000E2474"/>
    <w:rsid w:val="000F1A34"/>
    <w:rsid w:val="000F2EB2"/>
    <w:rsid w:val="000F68DD"/>
    <w:rsid w:val="000F7183"/>
    <w:rsid w:val="001034B9"/>
    <w:rsid w:val="0011310F"/>
    <w:rsid w:val="001166E5"/>
    <w:rsid w:val="00125BCE"/>
    <w:rsid w:val="001320C5"/>
    <w:rsid w:val="00135D78"/>
    <w:rsid w:val="00135FCF"/>
    <w:rsid w:val="00136955"/>
    <w:rsid w:val="00142DC2"/>
    <w:rsid w:val="00144A49"/>
    <w:rsid w:val="00147FE6"/>
    <w:rsid w:val="00150152"/>
    <w:rsid w:val="001524FC"/>
    <w:rsid w:val="00153FFF"/>
    <w:rsid w:val="0016146B"/>
    <w:rsid w:val="0016368D"/>
    <w:rsid w:val="00163893"/>
    <w:rsid w:val="00163F15"/>
    <w:rsid w:val="001646A5"/>
    <w:rsid w:val="00165D3A"/>
    <w:rsid w:val="00166FEC"/>
    <w:rsid w:val="0017566A"/>
    <w:rsid w:val="001779D1"/>
    <w:rsid w:val="00185EBD"/>
    <w:rsid w:val="00191F9F"/>
    <w:rsid w:val="0019719C"/>
    <w:rsid w:val="001A4231"/>
    <w:rsid w:val="001A535F"/>
    <w:rsid w:val="001B7E70"/>
    <w:rsid w:val="001C35D3"/>
    <w:rsid w:val="001C5610"/>
    <w:rsid w:val="001C5F04"/>
    <w:rsid w:val="001D0E06"/>
    <w:rsid w:val="001D6C3A"/>
    <w:rsid w:val="001E38C2"/>
    <w:rsid w:val="001E404A"/>
    <w:rsid w:val="001E5BEA"/>
    <w:rsid w:val="001F68C4"/>
    <w:rsid w:val="0020071F"/>
    <w:rsid w:val="00204B36"/>
    <w:rsid w:val="00206631"/>
    <w:rsid w:val="0021202C"/>
    <w:rsid w:val="0021478A"/>
    <w:rsid w:val="00215C81"/>
    <w:rsid w:val="00216BA4"/>
    <w:rsid w:val="002317E7"/>
    <w:rsid w:val="00235DF6"/>
    <w:rsid w:val="0024066E"/>
    <w:rsid w:val="00246DCB"/>
    <w:rsid w:val="002659A7"/>
    <w:rsid w:val="00270478"/>
    <w:rsid w:val="00272E3C"/>
    <w:rsid w:val="00283409"/>
    <w:rsid w:val="00291691"/>
    <w:rsid w:val="002931CB"/>
    <w:rsid w:val="002A4AEE"/>
    <w:rsid w:val="002A7930"/>
    <w:rsid w:val="002A7EAB"/>
    <w:rsid w:val="002B2BDE"/>
    <w:rsid w:val="002B5713"/>
    <w:rsid w:val="002C3C57"/>
    <w:rsid w:val="002E170A"/>
    <w:rsid w:val="002E7309"/>
    <w:rsid w:val="002F1474"/>
    <w:rsid w:val="002F3638"/>
    <w:rsid w:val="00302D5D"/>
    <w:rsid w:val="00303A36"/>
    <w:rsid w:val="00305FB5"/>
    <w:rsid w:val="00323265"/>
    <w:rsid w:val="00334AE0"/>
    <w:rsid w:val="00335A0D"/>
    <w:rsid w:val="003435F5"/>
    <w:rsid w:val="0035007F"/>
    <w:rsid w:val="00361AC8"/>
    <w:rsid w:val="00365CB9"/>
    <w:rsid w:val="003756B5"/>
    <w:rsid w:val="003902AC"/>
    <w:rsid w:val="00391684"/>
    <w:rsid w:val="0039170F"/>
    <w:rsid w:val="003A062F"/>
    <w:rsid w:val="003B148E"/>
    <w:rsid w:val="003B2B29"/>
    <w:rsid w:val="003B2EE3"/>
    <w:rsid w:val="003B52C7"/>
    <w:rsid w:val="003C2F42"/>
    <w:rsid w:val="003C569B"/>
    <w:rsid w:val="003D629F"/>
    <w:rsid w:val="003F30E2"/>
    <w:rsid w:val="00406970"/>
    <w:rsid w:val="00413959"/>
    <w:rsid w:val="004447AC"/>
    <w:rsid w:val="0045196E"/>
    <w:rsid w:val="004575E4"/>
    <w:rsid w:val="00476A5D"/>
    <w:rsid w:val="004770C2"/>
    <w:rsid w:val="00495058"/>
    <w:rsid w:val="004A6E8B"/>
    <w:rsid w:val="004A7B31"/>
    <w:rsid w:val="004B3194"/>
    <w:rsid w:val="004B3592"/>
    <w:rsid w:val="004B6311"/>
    <w:rsid w:val="004E000A"/>
    <w:rsid w:val="004E41D7"/>
    <w:rsid w:val="004E6EC4"/>
    <w:rsid w:val="004F6165"/>
    <w:rsid w:val="00503BB4"/>
    <w:rsid w:val="005069B1"/>
    <w:rsid w:val="005216AD"/>
    <w:rsid w:val="005421F2"/>
    <w:rsid w:val="00546A81"/>
    <w:rsid w:val="005621FE"/>
    <w:rsid w:val="00581B48"/>
    <w:rsid w:val="0059653C"/>
    <w:rsid w:val="005A060A"/>
    <w:rsid w:val="005A0688"/>
    <w:rsid w:val="005B6319"/>
    <w:rsid w:val="005B7DA7"/>
    <w:rsid w:val="005D4C96"/>
    <w:rsid w:val="005D52AE"/>
    <w:rsid w:val="005F379B"/>
    <w:rsid w:val="00606F8F"/>
    <w:rsid w:val="00626277"/>
    <w:rsid w:val="006370B9"/>
    <w:rsid w:val="00642701"/>
    <w:rsid w:val="00642846"/>
    <w:rsid w:val="006504A9"/>
    <w:rsid w:val="0065241F"/>
    <w:rsid w:val="0065407A"/>
    <w:rsid w:val="00654FA1"/>
    <w:rsid w:val="0065578C"/>
    <w:rsid w:val="00660BB5"/>
    <w:rsid w:val="006779E1"/>
    <w:rsid w:val="00692650"/>
    <w:rsid w:val="0069351A"/>
    <w:rsid w:val="006A323D"/>
    <w:rsid w:val="006A505C"/>
    <w:rsid w:val="006B20A1"/>
    <w:rsid w:val="006B2C34"/>
    <w:rsid w:val="006B7270"/>
    <w:rsid w:val="006B76E2"/>
    <w:rsid w:val="006C07B2"/>
    <w:rsid w:val="006C794A"/>
    <w:rsid w:val="006E0EF1"/>
    <w:rsid w:val="006F011E"/>
    <w:rsid w:val="006F1651"/>
    <w:rsid w:val="006F2E9E"/>
    <w:rsid w:val="006F32D0"/>
    <w:rsid w:val="006F427B"/>
    <w:rsid w:val="00700FEC"/>
    <w:rsid w:val="007010F0"/>
    <w:rsid w:val="00705F1A"/>
    <w:rsid w:val="0071172D"/>
    <w:rsid w:val="007135E8"/>
    <w:rsid w:val="00724D37"/>
    <w:rsid w:val="00731817"/>
    <w:rsid w:val="00732105"/>
    <w:rsid w:val="007436DC"/>
    <w:rsid w:val="007515CC"/>
    <w:rsid w:val="00762FF8"/>
    <w:rsid w:val="007641F4"/>
    <w:rsid w:val="007715AB"/>
    <w:rsid w:val="00773B43"/>
    <w:rsid w:val="007755CF"/>
    <w:rsid w:val="00783C33"/>
    <w:rsid w:val="00793F66"/>
    <w:rsid w:val="007A49F1"/>
    <w:rsid w:val="007B0798"/>
    <w:rsid w:val="007B4411"/>
    <w:rsid w:val="007E2000"/>
    <w:rsid w:val="007E5AC2"/>
    <w:rsid w:val="00800B31"/>
    <w:rsid w:val="008077EF"/>
    <w:rsid w:val="00817EB1"/>
    <w:rsid w:val="00825A1A"/>
    <w:rsid w:val="00831608"/>
    <w:rsid w:val="00837898"/>
    <w:rsid w:val="008614EC"/>
    <w:rsid w:val="00870D54"/>
    <w:rsid w:val="00870F83"/>
    <w:rsid w:val="0087111F"/>
    <w:rsid w:val="008721D8"/>
    <w:rsid w:val="00875021"/>
    <w:rsid w:val="00875B46"/>
    <w:rsid w:val="00886D19"/>
    <w:rsid w:val="00887D60"/>
    <w:rsid w:val="008A155A"/>
    <w:rsid w:val="008A2CCD"/>
    <w:rsid w:val="008B5762"/>
    <w:rsid w:val="008B7FAA"/>
    <w:rsid w:val="008D2B81"/>
    <w:rsid w:val="008D4EE0"/>
    <w:rsid w:val="008D5F96"/>
    <w:rsid w:val="008E0115"/>
    <w:rsid w:val="008E3BAD"/>
    <w:rsid w:val="008E7851"/>
    <w:rsid w:val="008F0EFE"/>
    <w:rsid w:val="008F211A"/>
    <w:rsid w:val="008F6227"/>
    <w:rsid w:val="00903583"/>
    <w:rsid w:val="00905718"/>
    <w:rsid w:val="009123FC"/>
    <w:rsid w:val="00916965"/>
    <w:rsid w:val="009209F3"/>
    <w:rsid w:val="00925177"/>
    <w:rsid w:val="00933C7D"/>
    <w:rsid w:val="00933EE5"/>
    <w:rsid w:val="00935037"/>
    <w:rsid w:val="00935251"/>
    <w:rsid w:val="00937114"/>
    <w:rsid w:val="009411DC"/>
    <w:rsid w:val="00941575"/>
    <w:rsid w:val="00952FC3"/>
    <w:rsid w:val="00955D05"/>
    <w:rsid w:val="0096169E"/>
    <w:rsid w:val="009634CF"/>
    <w:rsid w:val="00964755"/>
    <w:rsid w:val="00964768"/>
    <w:rsid w:val="00974CC5"/>
    <w:rsid w:val="00977901"/>
    <w:rsid w:val="00985106"/>
    <w:rsid w:val="00986858"/>
    <w:rsid w:val="00987A13"/>
    <w:rsid w:val="009934ED"/>
    <w:rsid w:val="009B76AC"/>
    <w:rsid w:val="009E4B1E"/>
    <w:rsid w:val="009F4359"/>
    <w:rsid w:val="009F43FE"/>
    <w:rsid w:val="00A0428B"/>
    <w:rsid w:val="00A05460"/>
    <w:rsid w:val="00A054A3"/>
    <w:rsid w:val="00A066C7"/>
    <w:rsid w:val="00A114E3"/>
    <w:rsid w:val="00A31DE7"/>
    <w:rsid w:val="00A32F53"/>
    <w:rsid w:val="00A4347D"/>
    <w:rsid w:val="00A51C6B"/>
    <w:rsid w:val="00A52405"/>
    <w:rsid w:val="00A7395F"/>
    <w:rsid w:val="00A801D7"/>
    <w:rsid w:val="00A82378"/>
    <w:rsid w:val="00A912FD"/>
    <w:rsid w:val="00A93AE8"/>
    <w:rsid w:val="00AB10C3"/>
    <w:rsid w:val="00AB3127"/>
    <w:rsid w:val="00AB3DC2"/>
    <w:rsid w:val="00AB6E7D"/>
    <w:rsid w:val="00AC2879"/>
    <w:rsid w:val="00AC2EAD"/>
    <w:rsid w:val="00AD6790"/>
    <w:rsid w:val="00AF123B"/>
    <w:rsid w:val="00AF3A40"/>
    <w:rsid w:val="00AF4E98"/>
    <w:rsid w:val="00B13A48"/>
    <w:rsid w:val="00B14B8F"/>
    <w:rsid w:val="00B27E52"/>
    <w:rsid w:val="00B3376D"/>
    <w:rsid w:val="00B410C3"/>
    <w:rsid w:val="00B547AD"/>
    <w:rsid w:val="00B55C34"/>
    <w:rsid w:val="00B831A2"/>
    <w:rsid w:val="00B92C7E"/>
    <w:rsid w:val="00B9519A"/>
    <w:rsid w:val="00BA5CF6"/>
    <w:rsid w:val="00BA79D3"/>
    <w:rsid w:val="00BC07D1"/>
    <w:rsid w:val="00BC1258"/>
    <w:rsid w:val="00BC6735"/>
    <w:rsid w:val="00BD3339"/>
    <w:rsid w:val="00BD4807"/>
    <w:rsid w:val="00BD59D6"/>
    <w:rsid w:val="00BE18D8"/>
    <w:rsid w:val="00BE1B58"/>
    <w:rsid w:val="00BE443F"/>
    <w:rsid w:val="00BE56D8"/>
    <w:rsid w:val="00BF4C5D"/>
    <w:rsid w:val="00BF6D40"/>
    <w:rsid w:val="00C058B5"/>
    <w:rsid w:val="00C10369"/>
    <w:rsid w:val="00C1465B"/>
    <w:rsid w:val="00C20286"/>
    <w:rsid w:val="00C2222B"/>
    <w:rsid w:val="00C26891"/>
    <w:rsid w:val="00C40B31"/>
    <w:rsid w:val="00C430D4"/>
    <w:rsid w:val="00C537D8"/>
    <w:rsid w:val="00C552F3"/>
    <w:rsid w:val="00C55535"/>
    <w:rsid w:val="00C615F4"/>
    <w:rsid w:val="00C62FC2"/>
    <w:rsid w:val="00C65DF3"/>
    <w:rsid w:val="00C65F51"/>
    <w:rsid w:val="00C70F14"/>
    <w:rsid w:val="00C82409"/>
    <w:rsid w:val="00C86B3E"/>
    <w:rsid w:val="00C90A19"/>
    <w:rsid w:val="00C947F8"/>
    <w:rsid w:val="00CA026B"/>
    <w:rsid w:val="00CA0DBF"/>
    <w:rsid w:val="00CA2255"/>
    <w:rsid w:val="00CB0743"/>
    <w:rsid w:val="00CB428C"/>
    <w:rsid w:val="00CB7F8D"/>
    <w:rsid w:val="00CE3CC5"/>
    <w:rsid w:val="00CE529D"/>
    <w:rsid w:val="00CF0695"/>
    <w:rsid w:val="00CF1DDF"/>
    <w:rsid w:val="00D14F3D"/>
    <w:rsid w:val="00D17BD0"/>
    <w:rsid w:val="00D2286B"/>
    <w:rsid w:val="00D3214B"/>
    <w:rsid w:val="00D328C9"/>
    <w:rsid w:val="00D35E6B"/>
    <w:rsid w:val="00D42EA9"/>
    <w:rsid w:val="00D43B66"/>
    <w:rsid w:val="00D523EF"/>
    <w:rsid w:val="00D60AF9"/>
    <w:rsid w:val="00D707D3"/>
    <w:rsid w:val="00D735F2"/>
    <w:rsid w:val="00D878AF"/>
    <w:rsid w:val="00D90202"/>
    <w:rsid w:val="00D9055F"/>
    <w:rsid w:val="00D924FE"/>
    <w:rsid w:val="00D93E95"/>
    <w:rsid w:val="00D94717"/>
    <w:rsid w:val="00D947FC"/>
    <w:rsid w:val="00D96EE6"/>
    <w:rsid w:val="00DA1729"/>
    <w:rsid w:val="00DB094F"/>
    <w:rsid w:val="00DB3979"/>
    <w:rsid w:val="00DB65DE"/>
    <w:rsid w:val="00DC1546"/>
    <w:rsid w:val="00DD0911"/>
    <w:rsid w:val="00DD3C26"/>
    <w:rsid w:val="00DD71FD"/>
    <w:rsid w:val="00DE1077"/>
    <w:rsid w:val="00DE4910"/>
    <w:rsid w:val="00DF330C"/>
    <w:rsid w:val="00DF7FEB"/>
    <w:rsid w:val="00E03DBB"/>
    <w:rsid w:val="00E11399"/>
    <w:rsid w:val="00E17813"/>
    <w:rsid w:val="00E179C0"/>
    <w:rsid w:val="00E3362F"/>
    <w:rsid w:val="00E42797"/>
    <w:rsid w:val="00E50DE6"/>
    <w:rsid w:val="00E5128F"/>
    <w:rsid w:val="00E52490"/>
    <w:rsid w:val="00E53D10"/>
    <w:rsid w:val="00E57D2E"/>
    <w:rsid w:val="00E6670E"/>
    <w:rsid w:val="00E733FA"/>
    <w:rsid w:val="00E81067"/>
    <w:rsid w:val="00E97C8D"/>
    <w:rsid w:val="00EA012B"/>
    <w:rsid w:val="00EA4C2E"/>
    <w:rsid w:val="00EA6A38"/>
    <w:rsid w:val="00EC2DB1"/>
    <w:rsid w:val="00ED1DDF"/>
    <w:rsid w:val="00ED533B"/>
    <w:rsid w:val="00EE4697"/>
    <w:rsid w:val="00EF2C9E"/>
    <w:rsid w:val="00F040F2"/>
    <w:rsid w:val="00F06054"/>
    <w:rsid w:val="00F26626"/>
    <w:rsid w:val="00F31429"/>
    <w:rsid w:val="00F37D39"/>
    <w:rsid w:val="00F44E47"/>
    <w:rsid w:val="00F56668"/>
    <w:rsid w:val="00F60FAF"/>
    <w:rsid w:val="00F71756"/>
    <w:rsid w:val="00F758C9"/>
    <w:rsid w:val="00F828B4"/>
    <w:rsid w:val="00F91197"/>
    <w:rsid w:val="00F9750A"/>
    <w:rsid w:val="00FA7136"/>
    <w:rsid w:val="00FB4AFF"/>
    <w:rsid w:val="00FB4E9C"/>
    <w:rsid w:val="00FC1E0E"/>
    <w:rsid w:val="00FC6176"/>
    <w:rsid w:val="00FC6214"/>
    <w:rsid w:val="00FC77A2"/>
    <w:rsid w:val="00FD12C5"/>
    <w:rsid w:val="00FE0A9B"/>
    <w:rsid w:val="00FE3A7D"/>
    <w:rsid w:val="00FE76CD"/>
    <w:rsid w:val="00FF00E3"/>
    <w:rsid w:val="00FF75E7"/>
    <w:rsid w:val="0271368F"/>
    <w:rsid w:val="03AE2822"/>
    <w:rsid w:val="09D046F3"/>
    <w:rsid w:val="0C216E2C"/>
    <w:rsid w:val="0D3061B1"/>
    <w:rsid w:val="0DF943FE"/>
    <w:rsid w:val="0E4533B4"/>
    <w:rsid w:val="0F914696"/>
    <w:rsid w:val="108C5BB3"/>
    <w:rsid w:val="11223B51"/>
    <w:rsid w:val="12E02103"/>
    <w:rsid w:val="13D81D66"/>
    <w:rsid w:val="15AD5677"/>
    <w:rsid w:val="163A7083"/>
    <w:rsid w:val="168A0BAF"/>
    <w:rsid w:val="176A4380"/>
    <w:rsid w:val="17950526"/>
    <w:rsid w:val="18D25D6F"/>
    <w:rsid w:val="18DD4E0B"/>
    <w:rsid w:val="19070037"/>
    <w:rsid w:val="1A33392A"/>
    <w:rsid w:val="20656358"/>
    <w:rsid w:val="28DE3C83"/>
    <w:rsid w:val="2C433EEA"/>
    <w:rsid w:val="36C066E4"/>
    <w:rsid w:val="37ED7D3A"/>
    <w:rsid w:val="37EE3C2F"/>
    <w:rsid w:val="387830E1"/>
    <w:rsid w:val="3A32657D"/>
    <w:rsid w:val="3B2D11E1"/>
    <w:rsid w:val="41724654"/>
    <w:rsid w:val="4176108E"/>
    <w:rsid w:val="42D6532A"/>
    <w:rsid w:val="43781816"/>
    <w:rsid w:val="451B3C47"/>
    <w:rsid w:val="45CD3367"/>
    <w:rsid w:val="46AA03DB"/>
    <w:rsid w:val="47417EB9"/>
    <w:rsid w:val="4A052177"/>
    <w:rsid w:val="4A167B9B"/>
    <w:rsid w:val="4DDE5ABF"/>
    <w:rsid w:val="4DE5228D"/>
    <w:rsid w:val="4E7B7CDA"/>
    <w:rsid w:val="4EC31EB6"/>
    <w:rsid w:val="4F3E697A"/>
    <w:rsid w:val="4F4815A8"/>
    <w:rsid w:val="50CB3C65"/>
    <w:rsid w:val="51F15F26"/>
    <w:rsid w:val="52715AFB"/>
    <w:rsid w:val="53947F23"/>
    <w:rsid w:val="55A539D4"/>
    <w:rsid w:val="5BF17E2A"/>
    <w:rsid w:val="5C022637"/>
    <w:rsid w:val="5E803118"/>
    <w:rsid w:val="5F6013EB"/>
    <w:rsid w:val="618E5AF6"/>
    <w:rsid w:val="63530D4A"/>
    <w:rsid w:val="64AE3503"/>
    <w:rsid w:val="657A0D26"/>
    <w:rsid w:val="65BF0E55"/>
    <w:rsid w:val="67443BAC"/>
    <w:rsid w:val="67DB2AF0"/>
    <w:rsid w:val="6ACB15B2"/>
    <w:rsid w:val="6F965798"/>
    <w:rsid w:val="741D52D8"/>
    <w:rsid w:val="745965EC"/>
    <w:rsid w:val="76816FC9"/>
    <w:rsid w:val="79F24465"/>
    <w:rsid w:val="7DD02D0F"/>
    <w:rsid w:val="7E791D3E"/>
    <w:rsid w:val="7F3F28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6"/>
    <w:qFormat/>
    <w:uiPriority w:val="0"/>
    <w:pPr>
      <w:keepNext/>
      <w:keepLines/>
      <w:spacing w:line="413" w:lineRule="auto"/>
      <w:outlineLvl w:val="1"/>
    </w:pPr>
    <w:rPr>
      <w:rFonts w:ascii="Arial" w:hAnsi="Arial" w:eastAsia="黑体"/>
      <w:b/>
      <w:sz w:val="32"/>
    </w:rPr>
  </w:style>
  <w:style w:type="paragraph" w:styleId="2">
    <w:name w:val="heading 3"/>
    <w:basedOn w:val="1"/>
    <w:next w:val="1"/>
    <w:link w:val="27"/>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basedOn w:val="13"/>
    <w:qFormat/>
    <w:uiPriority w:val="22"/>
    <w:rPr>
      <w:b/>
      <w:bCs/>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paragraph" w:styleId="17">
    <w:name w:val="List Paragraph"/>
    <w:basedOn w:val="1"/>
    <w:qFormat/>
    <w:uiPriority w:val="34"/>
    <w:pPr>
      <w:ind w:firstLine="420" w:firstLineChars="200"/>
    </w:pPr>
  </w:style>
  <w:style w:type="character" w:customStyle="1" w:styleId="18">
    <w:name w:val="页眉 字符"/>
    <w:basedOn w:val="13"/>
    <w:link w:val="9"/>
    <w:qFormat/>
    <w:uiPriority w:val="99"/>
    <w:rPr>
      <w:sz w:val="18"/>
      <w:szCs w:val="18"/>
    </w:rPr>
  </w:style>
  <w:style w:type="character" w:customStyle="1" w:styleId="19">
    <w:name w:val="页脚 字符"/>
    <w:basedOn w:val="13"/>
    <w:link w:val="8"/>
    <w:qFormat/>
    <w:uiPriority w:val="99"/>
    <w:rPr>
      <w:sz w:val="18"/>
      <w:szCs w:val="18"/>
    </w:rPr>
  </w:style>
  <w:style w:type="character" w:customStyle="1" w:styleId="20">
    <w:name w:val="批注框文本 字符"/>
    <w:basedOn w:val="13"/>
    <w:link w:val="7"/>
    <w:semiHidden/>
    <w:qFormat/>
    <w:uiPriority w:val="99"/>
    <w:rPr>
      <w:kern w:val="2"/>
      <w:sz w:val="18"/>
      <w:szCs w:val="18"/>
    </w:rPr>
  </w:style>
  <w:style w:type="paragraph" w:customStyle="1" w:styleId="21">
    <w:name w:val="样式3"/>
    <w:basedOn w:val="2"/>
    <w:autoRedefine/>
    <w:qFormat/>
    <w:uiPriority w:val="0"/>
    <w:pPr>
      <w:spacing w:before="120" w:after="120" w:line="440" w:lineRule="exact"/>
    </w:pPr>
    <w:rPr>
      <w:rFonts w:eastAsia="黑体"/>
      <w:b w:val="0"/>
      <w:bCs/>
      <w:sz w:val="28"/>
      <w:szCs w:val="28"/>
    </w:rPr>
  </w:style>
  <w:style w:type="character" w:customStyle="1" w:styleId="22">
    <w:name w:val="font21"/>
    <w:basedOn w:val="13"/>
    <w:qFormat/>
    <w:uiPriority w:val="0"/>
    <w:rPr>
      <w:rFonts w:hint="default" w:ascii="Times New Roman" w:hAnsi="Times New Roman" w:cs="Times New Roman"/>
      <w:color w:val="000000"/>
      <w:sz w:val="21"/>
      <w:szCs w:val="21"/>
      <w:u w:val="none"/>
    </w:rPr>
  </w:style>
  <w:style w:type="character" w:customStyle="1" w:styleId="23">
    <w:name w:val="font31"/>
    <w:basedOn w:val="13"/>
    <w:qFormat/>
    <w:uiPriority w:val="0"/>
    <w:rPr>
      <w:rFonts w:hint="eastAsia" w:ascii="宋体" w:hAnsi="宋体" w:eastAsia="宋体" w:cs="宋体"/>
      <w:color w:val="000000"/>
      <w:sz w:val="21"/>
      <w:szCs w:val="21"/>
      <w:u w:val="none"/>
    </w:rPr>
  </w:style>
  <w:style w:type="character" w:customStyle="1" w:styleId="24">
    <w:name w:val="font11"/>
    <w:basedOn w:val="13"/>
    <w:qFormat/>
    <w:uiPriority w:val="0"/>
    <w:rPr>
      <w:rFonts w:hint="default" w:ascii="Times New Roman" w:hAnsi="Times New Roman" w:cs="Times New Roman"/>
      <w:color w:val="000000"/>
      <w:sz w:val="21"/>
      <w:szCs w:val="21"/>
      <w:u w:val="none"/>
    </w:rPr>
  </w:style>
  <w:style w:type="paragraph" w:customStyle="1" w:styleId="25">
    <w:name w:val="列表段落1"/>
    <w:basedOn w:val="1"/>
    <w:qFormat/>
    <w:uiPriority w:val="99"/>
    <w:pPr>
      <w:ind w:firstLine="420" w:firstLineChars="200"/>
    </w:pPr>
  </w:style>
  <w:style w:type="character" w:customStyle="1" w:styleId="26">
    <w:name w:val="标题 2 字符"/>
    <w:basedOn w:val="13"/>
    <w:link w:val="4"/>
    <w:qFormat/>
    <w:uiPriority w:val="0"/>
    <w:rPr>
      <w:rFonts w:ascii="Arial" w:hAnsi="Arial" w:eastAsia="黑体" w:cstheme="minorBidi"/>
      <w:b/>
      <w:kern w:val="2"/>
      <w:sz w:val="32"/>
      <w:szCs w:val="22"/>
    </w:rPr>
  </w:style>
  <w:style w:type="character" w:customStyle="1" w:styleId="27">
    <w:name w:val="标题 3 Char"/>
    <w:link w:val="2"/>
    <w:qFormat/>
    <w:uiPriority w:val="0"/>
    <w:rPr>
      <w:b/>
      <w:sz w:val="32"/>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22</Pages>
  <Words>663</Words>
  <Characters>721</Characters>
  <Lines>129</Lines>
  <Paragraphs>36</Paragraphs>
  <TotalTime>47</TotalTime>
  <ScaleCrop>false</ScaleCrop>
  <LinksUpToDate>false</LinksUpToDate>
  <CharactersWithSpaces>769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2021-03-02T00:48:00Z</dcterms:created>
  <dc:creator>倪长雨</dc:creator>
  <cp:lastModifiedBy>谢昭彬</cp:lastModifiedBy>
  <cp:lastPrinted>2025-02-20T06:39:00Z</cp:lastPrinted>
  <dcterms:modified xsi:type="dcterms:W3CDTF">2025-03-27T09:18:35Z</dcterms:modified>
  <cp:revision>370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F742B0058FE34EC8A49BEF657122D0C5_13</vt:lpwstr>
  </property>
  <property fmtid="{D5CDD505-2E9C-101B-9397-08002B2CF9AE}" pid="4" name="KSOTemplateDocerSaveRecord">
    <vt:lpwstr>eyJoZGlkIjoiM2RhYjE2NDg5OTQ3OTYyYWMzNDdjMzkwNjU0NDUzMTMiLCJ1c2VySWQiOiI1NjY0MzY2NTIifQ==</vt:lpwstr>
  </property>
</Properties>
</file>